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C8" w:rsidRDefault="00F155C8"/>
    <w:p w:rsidR="005949D6" w:rsidRDefault="00F155C8">
      <w:r>
        <w:t>Eco Escolas – Brigada da Cozinha _ Inquérito na plataforma Microsoft Forms</w:t>
      </w:r>
      <w:r w:rsidR="005949D6">
        <w:t>_gráficos</w:t>
      </w:r>
    </w:p>
    <w:p w:rsidR="00F155C8" w:rsidRPr="005949D6" w:rsidRDefault="00F155C8">
      <w:r w:rsidRPr="005949D6">
        <w:rPr>
          <w:rFonts w:ascii="Segoe UI" w:eastAsia="Times New Roman" w:hAnsi="Segoe UI" w:cs="Segoe UI"/>
          <w:b/>
          <w:color w:val="333333"/>
          <w:sz w:val="20"/>
          <w:szCs w:val="20"/>
        </w:rPr>
        <w:t xml:space="preserve"> 1. Fazes a higiene das mãos antes das refeições? </w:t>
      </w:r>
      <w:r w:rsidR="005949D6" w:rsidRPr="005949D6">
        <w:rPr>
          <w:sz w:val="20"/>
          <w:szCs w:val="20"/>
        </w:rPr>
        <w:t>Os resultados mostram que os alunos no pós Covid, voltaram a ter menos higiene nas mão antes da refeições. Os resultados pela observação direta mostram o contrário dos resultados online. Só 1 em cada 10 alunos que frequentaram o refeitório no período observado lavaram as mãos (10%).</w:t>
      </w:r>
    </w:p>
    <w:p w:rsidR="00852FC2" w:rsidRDefault="00D045BB">
      <w:r w:rsidRPr="00D045BB">
        <w:rPr>
          <w:noProof/>
        </w:rPr>
        <w:drawing>
          <wp:inline distT="0" distB="0" distL="0" distR="0">
            <wp:extent cx="4505325" cy="2752725"/>
            <wp:effectExtent l="1905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4A03" w:rsidRPr="00F155C8" w:rsidRDefault="00924D8E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color w:val="333333"/>
          <w:sz w:val="16"/>
          <w:szCs w:val="16"/>
        </w:rPr>
        <w:t xml:space="preserve">  </w:t>
      </w:r>
      <w:r w:rsidR="00F155C8">
        <w:rPr>
          <w:rFonts w:ascii="Segoe UI" w:eastAsia="Times New Roman" w:hAnsi="Segoe UI" w:cs="Segoe UI"/>
          <w:color w:val="333333"/>
          <w:sz w:val="16"/>
          <w:szCs w:val="16"/>
        </w:rPr>
        <w:t xml:space="preserve"> </w:t>
      </w:r>
      <w:r w:rsidR="00F155C8" w:rsidRPr="00E66659">
        <w:rPr>
          <w:rFonts w:ascii="Segoe UI" w:eastAsia="Times New Roman" w:hAnsi="Segoe UI" w:cs="Segoe UI"/>
          <w:b/>
          <w:color w:val="333333"/>
          <w:sz w:val="16"/>
          <w:szCs w:val="16"/>
        </w:rPr>
        <w:t>2. Contribuis para haver ruído no refeitório?</w:t>
      </w:r>
      <w:r w:rsidR="00F155C8">
        <w:rPr>
          <w:rFonts w:ascii="Segoe UI" w:eastAsia="Times New Roman" w:hAnsi="Segoe UI" w:cs="Segoe UI"/>
          <w:color w:val="333333"/>
          <w:sz w:val="16"/>
          <w:szCs w:val="16"/>
        </w:rPr>
        <w:t xml:space="preserve">  </w:t>
      </w:r>
      <w:r w:rsidR="005949D6">
        <w:rPr>
          <w:rFonts w:ascii="Segoe UI" w:eastAsia="Times New Roman" w:hAnsi="Segoe UI" w:cs="Segoe UI"/>
          <w:color w:val="333333"/>
          <w:sz w:val="16"/>
          <w:szCs w:val="16"/>
        </w:rPr>
        <w:t>Aqui os resultados são muito idênticos.</w:t>
      </w:r>
    </w:p>
    <w:p w:rsidR="00F155C8" w:rsidRDefault="007C4A03" w:rsidP="00F155C8">
      <w:r w:rsidRPr="007C4A03">
        <w:rPr>
          <w:noProof/>
        </w:rPr>
        <w:drawing>
          <wp:inline distT="0" distB="0" distL="0" distR="0">
            <wp:extent cx="4505325" cy="2752725"/>
            <wp:effectExtent l="1905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  <w:r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  </w:t>
      </w: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924D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6"/>
          <w:szCs w:val="16"/>
        </w:rPr>
      </w:pPr>
      <w:r w:rsidRPr="00161055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3.Utilizas o telemóvel enquanto almoças no </w:t>
      </w:r>
      <w:r w:rsidR="00924D8E" w:rsidRPr="00161055">
        <w:rPr>
          <w:rFonts w:ascii="Segoe UI" w:eastAsia="Times New Roman" w:hAnsi="Segoe UI" w:cs="Segoe UI"/>
          <w:b/>
          <w:color w:val="333333"/>
          <w:sz w:val="16"/>
          <w:szCs w:val="16"/>
        </w:rPr>
        <w:t>refeitório’?</w:t>
      </w:r>
      <w:r w:rsidR="00924D8E">
        <w:rPr>
          <w:rFonts w:ascii="Segoe UI" w:eastAsia="Times New Roman" w:hAnsi="Segoe UI" w:cs="Segoe UI"/>
          <w:color w:val="333333"/>
          <w:sz w:val="16"/>
          <w:szCs w:val="16"/>
        </w:rPr>
        <w:t xml:space="preserve"> </w:t>
      </w:r>
      <w:r w:rsidR="005949D6">
        <w:rPr>
          <w:rFonts w:ascii="Segoe UI" w:eastAsia="Times New Roman" w:hAnsi="Segoe UI" w:cs="Segoe UI"/>
          <w:color w:val="333333"/>
          <w:sz w:val="16"/>
          <w:szCs w:val="16"/>
        </w:rPr>
        <w:t>Os resultados aqui também foram muito idênticos entre as respostas onl</w:t>
      </w:r>
      <w:r w:rsidR="00924D8E">
        <w:rPr>
          <w:rFonts w:ascii="Segoe UI" w:eastAsia="Times New Roman" w:hAnsi="Segoe UI" w:cs="Segoe UI"/>
          <w:color w:val="333333"/>
          <w:sz w:val="16"/>
          <w:szCs w:val="16"/>
        </w:rPr>
        <w:t>in</w:t>
      </w:r>
      <w:r w:rsidR="005949D6">
        <w:rPr>
          <w:rFonts w:ascii="Segoe UI" w:eastAsia="Times New Roman" w:hAnsi="Segoe UI" w:cs="Segoe UI"/>
          <w:color w:val="333333"/>
          <w:sz w:val="16"/>
          <w:szCs w:val="16"/>
        </w:rPr>
        <w:t>e e a observação/respostas</w:t>
      </w:r>
      <w:r w:rsidR="00924D8E">
        <w:rPr>
          <w:rFonts w:ascii="Segoe UI" w:eastAsia="Times New Roman" w:hAnsi="Segoe UI" w:cs="Segoe UI"/>
          <w:color w:val="333333"/>
          <w:sz w:val="16"/>
          <w:szCs w:val="16"/>
        </w:rPr>
        <w:t xml:space="preserve"> in loco.</w:t>
      </w:r>
    </w:p>
    <w:p w:rsidR="00D045BB" w:rsidRPr="00F155C8" w:rsidRDefault="00D045BB" w:rsidP="00F155C8">
      <w:pPr>
        <w:ind w:firstLine="708"/>
      </w:pPr>
    </w:p>
    <w:p w:rsidR="00F155C8" w:rsidRDefault="00483A59">
      <w:r w:rsidRPr="00483A59">
        <w:rPr>
          <w:noProof/>
        </w:rPr>
        <w:drawing>
          <wp:inline distT="0" distB="0" distL="0" distR="0">
            <wp:extent cx="4505325" cy="2752725"/>
            <wp:effectExtent l="19050" t="0" r="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49D6" w:rsidRPr="00924D8E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  <w:r w:rsidRPr="00924D8E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        </w:t>
      </w:r>
    </w:p>
    <w:p w:rsidR="00F155C8" w:rsidRP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  <w:r w:rsidRPr="00924D8E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 4.Contribuis para que o refeitório esteja limpo e asseado durante o almoço</w:t>
      </w:r>
      <w:r>
        <w:rPr>
          <w:rFonts w:ascii="Segoe UI" w:eastAsia="Times New Roman" w:hAnsi="Segoe UI" w:cs="Segoe UI"/>
          <w:b/>
          <w:color w:val="333333"/>
          <w:sz w:val="16"/>
          <w:szCs w:val="16"/>
        </w:rPr>
        <w:t>?</w:t>
      </w:r>
      <w:r w:rsidR="00924D8E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Resultados muito idênticos nas duas diferentes formas de responder.</w:t>
      </w:r>
    </w:p>
    <w:p w:rsidR="00227D75" w:rsidRDefault="00227D75">
      <w:r w:rsidRPr="00227D75">
        <w:rPr>
          <w:noProof/>
        </w:rPr>
        <w:drawing>
          <wp:inline distT="0" distB="0" distL="0" distR="0">
            <wp:extent cx="4505325" cy="2752725"/>
            <wp:effectExtent l="19050" t="0" r="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5805" w:rsidRDefault="00715805"/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  <w:r w:rsidRPr="00966D1B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        </w:t>
      </w: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Pr="00924D8E" w:rsidRDefault="00F155C8" w:rsidP="00924D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6"/>
          <w:szCs w:val="16"/>
        </w:rPr>
      </w:pPr>
      <w:r w:rsidRPr="00966D1B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5.Respeitas a integridade física e psicológica de colegas, professor</w:t>
      </w:r>
      <w:r>
        <w:rPr>
          <w:rFonts w:ascii="Segoe UI" w:eastAsia="Times New Roman" w:hAnsi="Segoe UI" w:cs="Segoe UI"/>
          <w:b/>
          <w:color w:val="333333"/>
          <w:sz w:val="16"/>
          <w:szCs w:val="16"/>
        </w:rPr>
        <w:t>es e funcionários no refeitório?</w:t>
      </w:r>
      <w:r w:rsidR="00924D8E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</w:t>
      </w:r>
      <w:r w:rsidR="00924D8E" w:rsidRPr="00924D8E">
        <w:rPr>
          <w:rFonts w:ascii="Segoe UI" w:eastAsia="Times New Roman" w:hAnsi="Segoe UI" w:cs="Segoe UI"/>
          <w:color w:val="333333"/>
          <w:sz w:val="16"/>
          <w:szCs w:val="16"/>
        </w:rPr>
        <w:t>Aqui os resultados também foram muito próximos. Quanto às respostas “As vezes”, diz respeito a brincadeiras com colegas e nunca com funcionários e docentes.</w:t>
      </w:r>
    </w:p>
    <w:p w:rsidR="00924D8E" w:rsidRDefault="00715805" w:rsidP="00924D8E">
      <w:r w:rsidRPr="00715805">
        <w:rPr>
          <w:noProof/>
        </w:rPr>
        <w:drawing>
          <wp:inline distT="0" distB="0" distL="0" distR="0">
            <wp:extent cx="4505325" cy="2752725"/>
            <wp:effectExtent l="19050" t="0" r="0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55C8" w:rsidRPr="00924D8E" w:rsidRDefault="00F155C8" w:rsidP="00924D8E">
      <w:pPr>
        <w:jc w:val="both"/>
      </w:pPr>
      <w:r w:rsidRPr="00966D1B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6.Comes a so</w:t>
      </w:r>
      <w:r>
        <w:rPr>
          <w:rFonts w:ascii="Segoe UI" w:eastAsia="Times New Roman" w:hAnsi="Segoe UI" w:cs="Segoe UI"/>
          <w:b/>
          <w:color w:val="333333"/>
          <w:sz w:val="16"/>
          <w:szCs w:val="16"/>
        </w:rPr>
        <w:t>pa quando almoças no refeitório</w:t>
      </w:r>
      <w:r w:rsidRPr="00924D8E">
        <w:rPr>
          <w:rFonts w:ascii="Segoe UI" w:eastAsia="Times New Roman" w:hAnsi="Segoe UI" w:cs="Segoe UI"/>
          <w:color w:val="333333"/>
          <w:sz w:val="16"/>
          <w:szCs w:val="16"/>
        </w:rPr>
        <w:t xml:space="preserve">? </w:t>
      </w:r>
      <w:r w:rsidR="00924D8E" w:rsidRPr="00924D8E">
        <w:rPr>
          <w:rFonts w:ascii="Segoe UI" w:eastAsia="Times New Roman" w:hAnsi="Segoe UI" w:cs="Segoe UI"/>
          <w:color w:val="333333"/>
          <w:sz w:val="16"/>
          <w:szCs w:val="16"/>
        </w:rPr>
        <w:t xml:space="preserve"> Aqui os resultados são diferentes. Registamos que quase existem mais de  25% que não comem sopa nunca e 50% comem As vezes( depende da sopa e do conteúdo do prato principal.</w:t>
      </w:r>
    </w:p>
    <w:p w:rsidR="0099364F" w:rsidRDefault="0099364F">
      <w:r w:rsidRPr="0099364F">
        <w:rPr>
          <w:noProof/>
        </w:rPr>
        <w:drawing>
          <wp:inline distT="0" distB="0" distL="0" distR="0">
            <wp:extent cx="4505325" cy="2752725"/>
            <wp:effectExtent l="19050" t="0" r="0" b="0"/>
            <wp:docPr id="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  <w:r w:rsidRPr="00465337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      </w:t>
      </w: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F155C8" w:rsidRDefault="00F155C8" w:rsidP="00F15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801EB3" w:rsidRPr="005B7912" w:rsidRDefault="00F155C8" w:rsidP="005B79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6"/>
          <w:szCs w:val="16"/>
        </w:rPr>
      </w:pPr>
      <w:r w:rsidRPr="00465337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  7.Comes a fruta que te é fornecida no refeitório?</w:t>
      </w:r>
      <w:r w:rsidR="00924D8E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</w:t>
      </w:r>
      <w:r w:rsidR="00924D8E" w:rsidRPr="005B7912">
        <w:rPr>
          <w:rFonts w:ascii="Segoe UI" w:eastAsia="Times New Roman" w:hAnsi="Segoe UI" w:cs="Segoe UI"/>
          <w:color w:val="333333"/>
          <w:sz w:val="16"/>
          <w:szCs w:val="16"/>
        </w:rPr>
        <w:t xml:space="preserve">Aqui os resultados são muito idênticos. Aqueles que responderam </w:t>
      </w:r>
      <w:r w:rsidR="005B7912" w:rsidRPr="005B7912">
        <w:rPr>
          <w:rFonts w:ascii="Segoe UI" w:eastAsia="Times New Roman" w:hAnsi="Segoe UI" w:cs="Segoe UI"/>
          <w:color w:val="333333"/>
          <w:sz w:val="16"/>
          <w:szCs w:val="16"/>
        </w:rPr>
        <w:t>às vezes, depende da fruta apresentada. Aqueles que nunca comem fruta na nossa observação anda na ordem dos 12%.</w:t>
      </w:r>
    </w:p>
    <w:p w:rsidR="005B7912" w:rsidRDefault="00715805" w:rsidP="005B7912">
      <w:r w:rsidRPr="00715805">
        <w:rPr>
          <w:noProof/>
        </w:rPr>
        <w:drawing>
          <wp:inline distT="0" distB="0" distL="0" distR="0">
            <wp:extent cx="4505325" cy="2752725"/>
            <wp:effectExtent l="19050" t="0" r="0" b="0"/>
            <wp:docPr id="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55C8" w:rsidRPr="005B7912" w:rsidRDefault="00F155C8" w:rsidP="005B7912">
      <w:pPr>
        <w:jc w:val="both"/>
      </w:pPr>
      <w:r w:rsidRPr="005B7912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8.Comes toda a refeição que te servem no refeitório</w:t>
      </w:r>
      <w:r w:rsidR="005B7912" w:rsidRPr="005B7912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? </w:t>
      </w:r>
      <w:r w:rsidR="005B7912" w:rsidRPr="005B7912">
        <w:rPr>
          <w:rFonts w:ascii="Segoe UI" w:eastAsia="Times New Roman" w:hAnsi="Segoe UI" w:cs="Segoe UI"/>
          <w:color w:val="333333"/>
          <w:sz w:val="16"/>
          <w:szCs w:val="16"/>
        </w:rPr>
        <w:t>Resultados muito idênticos nas duas diferentes formas de observações. Os resultados variam muito dia para dia, depende da ementa e se é peixe ou carne.</w:t>
      </w:r>
    </w:p>
    <w:p w:rsidR="00C07582" w:rsidRDefault="00C07582">
      <w:r w:rsidRPr="00C07582">
        <w:rPr>
          <w:noProof/>
        </w:rPr>
        <w:drawing>
          <wp:inline distT="0" distB="0" distL="0" distR="0">
            <wp:extent cx="4505325" cy="2752725"/>
            <wp:effectExtent l="19050" t="0" r="0" b="0"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C07582" w:rsidSect="00852FC2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B8" w:rsidRDefault="00F760B8" w:rsidP="00F155C8">
      <w:pPr>
        <w:spacing w:after="0" w:line="240" w:lineRule="auto"/>
      </w:pPr>
      <w:r>
        <w:separator/>
      </w:r>
    </w:p>
  </w:endnote>
  <w:endnote w:type="continuationSeparator" w:id="1">
    <w:p w:rsidR="00F760B8" w:rsidRDefault="00F760B8" w:rsidP="00F1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B8" w:rsidRDefault="00F760B8" w:rsidP="00F155C8">
      <w:pPr>
        <w:spacing w:after="0" w:line="240" w:lineRule="auto"/>
      </w:pPr>
      <w:r>
        <w:separator/>
      </w:r>
    </w:p>
  </w:footnote>
  <w:footnote w:type="continuationSeparator" w:id="1">
    <w:p w:rsidR="00F760B8" w:rsidRDefault="00F760B8" w:rsidP="00F1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C8" w:rsidRDefault="00F155C8">
    <w:pPr>
      <w:pStyle w:val="Cabealho"/>
    </w:pPr>
    <w:r w:rsidRPr="00F155C8">
      <w:rPr>
        <w:noProof/>
      </w:rPr>
      <w:drawing>
        <wp:inline distT="0" distB="0" distL="0" distR="0">
          <wp:extent cx="791141" cy="592462"/>
          <wp:effectExtent l="19050" t="0" r="8959" b="0"/>
          <wp:docPr id="9" name="Imagem 4" descr="C:\Users\VitorCosta\AppData\Local\Microsoft\Windows\INetCache\Content.MSO\726E63A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torCosta\AppData\Local\Microsoft\Windows\INetCache\Content.MSO\726E63A8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8503" t="11017" r="17257" b="7085"/>
                  <a:stretch/>
                </pic:blipFill>
                <pic:spPr bwMode="auto">
                  <a:xfrm>
                    <a:off x="0" y="0"/>
                    <a:ext cx="803151" cy="6014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5BB"/>
    <w:rsid w:val="000F649E"/>
    <w:rsid w:val="001D0461"/>
    <w:rsid w:val="00227D75"/>
    <w:rsid w:val="003C2C64"/>
    <w:rsid w:val="00483A59"/>
    <w:rsid w:val="005949D6"/>
    <w:rsid w:val="005B7912"/>
    <w:rsid w:val="006A56FC"/>
    <w:rsid w:val="006E5521"/>
    <w:rsid w:val="00715805"/>
    <w:rsid w:val="007B600F"/>
    <w:rsid w:val="007C4A03"/>
    <w:rsid w:val="00801EB3"/>
    <w:rsid w:val="00852FC2"/>
    <w:rsid w:val="00924D8E"/>
    <w:rsid w:val="0099364F"/>
    <w:rsid w:val="00C07582"/>
    <w:rsid w:val="00C46068"/>
    <w:rsid w:val="00D045BB"/>
    <w:rsid w:val="00E55756"/>
    <w:rsid w:val="00F155C8"/>
    <w:rsid w:val="00F7478C"/>
    <w:rsid w:val="00F760B8"/>
    <w:rsid w:val="00FC2083"/>
    <w:rsid w:val="00FC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C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0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045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F1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155C8"/>
  </w:style>
  <w:style w:type="paragraph" w:styleId="Rodap">
    <w:name w:val="footer"/>
    <w:basedOn w:val="Normal"/>
    <w:link w:val="RodapCarcter"/>
    <w:uiPriority w:val="99"/>
    <w:semiHidden/>
    <w:unhideWhenUsed/>
    <w:rsid w:val="00F1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155C8"/>
  </w:style>
  <w:style w:type="paragraph" w:styleId="PargrafodaLista">
    <w:name w:val="List Paragraph"/>
    <w:basedOn w:val="Normal"/>
    <w:uiPriority w:val="34"/>
    <w:qFormat/>
    <w:rsid w:val="00F15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1.22\AVALIA&#199;&#195;O_9&#186;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1.22\AVALIA&#199;&#195;O_9&#186;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1.22\AVALIA&#199;&#195;O_9&#186;A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1.22\AVALIA&#199;&#195;O_9&#186;A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1.22\AVALIA&#199;&#195;O_9&#186;A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1.22\AVALIA&#199;&#195;O_9&#186;A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1.22\AVALIA&#199;&#195;O_9&#186;A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1.22\AVALIA&#199;&#195;O_9&#186;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2E-2"/>
          <c:y val="0.13445405735880334"/>
          <c:w val="0.86469344608879639"/>
          <c:h val="0.819329412030208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8E-2"/>
                  <c:y val="-0.1511880182345541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9777019415913394"/>
                  <c:y val="3.5149533643934645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49"/>
                  <c:y val="-0.1041918597946435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5"/>
                  <c:y val="-0.2748459383753503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[AVALIAÇÃO_9ºA.xls]Gráficos1!$M$13:$M$15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[AVALIAÇÃO_9ºA.xls]Gráficos1!$N$13:$N$15</c:f>
              <c:numCache>
                <c:formatCode>0</c:formatCode>
                <c:ptCount val="3"/>
                <c:pt idx="0">
                  <c:v>3</c:v>
                </c:pt>
                <c:pt idx="1">
                  <c:v>28</c:v>
                </c:pt>
                <c:pt idx="2">
                  <c:v>37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07E-2"/>
          <c:y val="0.13445405735880334"/>
          <c:w val="0.86469344608879639"/>
          <c:h val="0.819329412030208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5532564243423062"/>
                  <c:y val="2.8742791234140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0.18604651162790706"/>
                  <c:y val="-0.1447812622038161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1.3198159955164121E-2"/>
                  <c:y val="-0.13187405207567038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2"/>
                  <c:y val="-0.2748459383753503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[AVALIAÇÃO_9ºA.xls]Gráficos1!$M$13:$M$15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[AVALIAÇÃO_9ºA.xls]Gráficos1!$N$13:$N$15</c:f>
              <c:numCache>
                <c:formatCode>0</c:formatCode>
                <c:ptCount val="3"/>
                <c:pt idx="0">
                  <c:v>35</c:v>
                </c:pt>
                <c:pt idx="1">
                  <c:v>30</c:v>
                </c:pt>
                <c:pt idx="2">
                  <c:v>3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0.13389711064129678"/>
          <c:y val="6.593466474130187E-4"/>
          <c:w val="0.86469344608879639"/>
          <c:h val="0.819329412030208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1304234433697919"/>
                  <c:y val="-0.1880968858131489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0.16913319238900634"/>
                  <c:y val="9.0512855443242682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7.1368436239339042E-2"/>
                  <c:y val="-0.2518275526977813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2"/>
                  <c:y val="-0.2748459383753503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[AVALIAÇÃO_9ºA.xls]Gráficos1!$M$13:$M$15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[AVALIAÇÃO_9ºA.xls]Gráficos1!$N$13:$N$15</c:f>
              <c:numCache>
                <c:formatCode>0</c:formatCode>
                <c:ptCount val="3"/>
                <c:pt idx="0">
                  <c:v>22</c:v>
                </c:pt>
                <c:pt idx="1">
                  <c:v>30</c:v>
                </c:pt>
                <c:pt idx="2">
                  <c:v>6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07E-2"/>
          <c:y val="0.13445405735880334"/>
          <c:w val="0.86469344608879639"/>
          <c:h val="0.819329412030208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73E-2"/>
                  <c:y val="-0.1511880182345541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31258011369"/>
                  <c:y val="-0.1724629231034702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8412389783200991"/>
                  <c:y val="0.1172612592976051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2"/>
                  <c:y val="-0.2748459383753503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[AVALIAÇÃO_9ºA.xls]Gráficos1!$M$13:$M$15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[AVALIAÇÃO_9ºA.xls]Gráficos1!$N$13:$N$15</c:f>
              <c:numCache>
                <c:formatCode>0</c:formatCode>
                <c:ptCount val="3"/>
                <c:pt idx="0">
                  <c:v>4</c:v>
                </c:pt>
                <c:pt idx="1">
                  <c:v>11</c:v>
                </c:pt>
                <c:pt idx="2">
                  <c:v>53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07E-2"/>
          <c:y val="0.13445405735880334"/>
          <c:w val="0.86469344608879639"/>
          <c:h val="0.819329412030208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73E-2"/>
                  <c:y val="-0.1511880182345541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4703023644243227"/>
                  <c:y val="-0.201106539883206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49"/>
                  <c:y val="0.10342042884777805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2"/>
                  <c:y val="-0.2748459383753503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[AVALIAÇÃO_9ºA.xls]Gráficos1!$M$13:$M$15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[AVALIAÇÃO_9ºA.xls]Gráficos1!$N$13:$N$15</c:f>
              <c:numCache>
                <c:formatCode>0</c:formatCode>
                <c:ptCount val="3"/>
                <c:pt idx="0">
                  <c:v>1</c:v>
                </c:pt>
                <c:pt idx="1">
                  <c:v>10</c:v>
                </c:pt>
                <c:pt idx="2">
                  <c:v>57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07E-2"/>
          <c:y val="0.13445405735880334"/>
          <c:w val="0.86469344608879639"/>
          <c:h val="0.819329412030208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0554676965590821E-2"/>
                  <c:y val="-0.1004382929642445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72"/>
                  <c:y val="0.1597168417153859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8130501129219326"/>
                  <c:y val="-0.201077841048415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2"/>
                  <c:y val="-0.2748459383753503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[AVALIAÇÃO_9ºA.xls]Gráficos1!$M$13:$M$15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[AVALIAÇÃO_9ºA.xls]Gráficos1!$N$13:$N$15</c:f>
              <c:numCache>
                <c:formatCode>0</c:formatCode>
                <c:ptCount val="3"/>
                <c:pt idx="0">
                  <c:v>7</c:v>
                </c:pt>
                <c:pt idx="1">
                  <c:v>33</c:v>
                </c:pt>
                <c:pt idx="2">
                  <c:v>28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07E-2"/>
          <c:y val="0.13445405735880334"/>
          <c:w val="0.86469344608879639"/>
          <c:h val="0.819329412030208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8E-2"/>
                  <c:y val="-0.1096655132641292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72"/>
                  <c:y val="0.1597168417153859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49"/>
                  <c:y val="-0.19646423089847351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2"/>
                  <c:y val="-0.2748459383753503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[AVALIAÇÃO_9ºA.xls]Gráficos1!$M$13:$M$15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[AVALIAÇÃO_9ºA.xls]Gráficos1!$N$13:$N$15</c:f>
              <c:numCache>
                <c:formatCode>0</c:formatCode>
                <c:ptCount val="3"/>
                <c:pt idx="0">
                  <c:v>5</c:v>
                </c:pt>
                <c:pt idx="1">
                  <c:v>37</c:v>
                </c:pt>
                <c:pt idx="2">
                  <c:v>26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07E-2"/>
          <c:y val="0.13445405735880334"/>
          <c:w val="0.86469344608879639"/>
          <c:h val="0.819329412030208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73E-2"/>
                  <c:y val="-0.1511880182345541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24851015187583597"/>
                  <c:y val="2.8542625943382941E-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46"/>
                  <c:y val="-0.1041918597946435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2"/>
                  <c:y val="-0.2748459383753503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[AVALIAÇÃO_9ºA.xls]Gráficos1!$M$13:$M$15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[AVALIAÇÃO_9ºA.xls]Gráficos1!$N$13:$N$15</c:f>
              <c:numCache>
                <c:formatCode>0</c:formatCode>
                <c:ptCount val="3"/>
                <c:pt idx="0">
                  <c:v>0</c:v>
                </c:pt>
                <c:pt idx="1">
                  <c:v>35</c:v>
                </c:pt>
                <c:pt idx="2">
                  <c:v>33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3</cp:revision>
  <dcterms:created xsi:type="dcterms:W3CDTF">2024-05-10T18:46:00Z</dcterms:created>
  <dcterms:modified xsi:type="dcterms:W3CDTF">2024-05-28T18:29:00Z</dcterms:modified>
</cp:coreProperties>
</file>