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CE477">
      <w:pPr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Memória Descritiva</w:t>
      </w:r>
    </w:p>
    <w:p w14:paraId="6F261F59">
      <w:pPr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</w:rPr>
        <w:t>Ementa Eco-Cozinheiros 202</w:t>
      </w:r>
      <w:r>
        <w:rPr>
          <w:rFonts w:hint="default" w:ascii="Arial" w:hAnsi="Arial" w:cs="Arial"/>
          <w:b/>
          <w:bCs/>
          <w:sz w:val="22"/>
          <w:szCs w:val="22"/>
          <w:lang w:val="pt-PT"/>
        </w:rPr>
        <w:t>6</w:t>
      </w:r>
    </w:p>
    <w:p w14:paraId="248D83A8">
      <w:pPr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Considerando a sua natureza e a tipologia de ensino que lhe está associada, a EPDRA tem como missão a formação de técnicos intermédios qualificados para o exercício das saídas profissionais dos percursos formativos disponíveis e de cidadãos capazes de mobilizar valores e competências que lhes permitam intervir na vida e na sociedade, tomar decisões sobre questões naturais, sociais e éticas e dispor de capacidade de participação cívica, ativa, consciente e responsável.</w:t>
      </w:r>
    </w:p>
    <w:p w14:paraId="64009447">
      <w:pPr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Em termos formativos, a ação da escola centra-se no “saber”, sobretudo no “saber fazer” e no “saber ser”, no cumprimento da missão primária das escolas profissionais: a preparação efetiva dos alunos para a integração no mercado de trabalho, de acordo com uma oferta formativa que responda às necessidades da região e que contribua para o seu desenvolvimento integrado.</w:t>
      </w:r>
    </w:p>
    <w:p w14:paraId="0545563E">
      <w:pPr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Desta forma, é essencial centrar a ação nos alunos – atores fundamentais de todo o processo – procurando o desenvolvimento da formação, com a perspetiva da aprendizagem em contexto real, através da garantia da experimentação dos diferentes modelos de aprendizagem disponíveis, não descurando nunca a dimensão da aprendizagem enquanto cidadão. Em suma, todos os processos desenvolvidos visam a formação integral do aluno, proporcionando-lhe a aquisição de competências vastas, que lhe permitam a integração no mercado do trabalho e na sociedade em geral.</w:t>
      </w:r>
    </w:p>
    <w:p w14:paraId="526182EC">
      <w:pPr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Seguindo esta linha orientadora, os alunos do Curso Técnico/a de Cozinha/Pastelaria aceitaram este desafio - Eco-ementas Mediterrânicas/Eco-Cozinheiros - como mais uma etapa da sua aprendizagem. </w:t>
      </w:r>
    </w:p>
    <w:p w14:paraId="66EE8FE6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>A presente memória descritiva refere-se à ementa desenvolvida no âmbito do concurso Eco-Cozinheiros, enquadrada no escalão D (profissional). A proposta foi concebida com base nos princípios da Dieta Mediterrânica, na valorização de produtos locais e sazonais da região de Abrantes e na exequibilidade técnica em contexto de restauração profissional.</w:t>
      </w:r>
    </w:p>
    <w:p w14:paraId="402AC3F7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>Os aspetos da Dieta Mediterrânica considerados na conceção desta ementa foram a utilização do azeite como principal gordura de confeção e tempero; Elevado consumo de hortícolas, legumes e fruta ao longo de toda a refeição; Integração de ervas aromáticas (poejo, coentros, salsa) como potenciadores naturais de sabor; Preferência por peixe de rio e carnes magras, em quantidades moderadas; Técnicas culinárias simples e tradicionais (grelhar, escabeche, fritura controlada) e o Respeito pela sazonalidade e proximidade dos ingredientes.</w:t>
      </w:r>
    </w:p>
    <w:p w14:paraId="6CE8C05D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>A escolha dos pratos partiu da intenção de valorizar produtos identitários da região do Médio Tejo e do Ribatejo, articulando tradição e contemporaneidade.</w:t>
      </w:r>
    </w:p>
    <w:p w14:paraId="19F9BFD2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 xml:space="preserve">Esta ementa é composta por uma 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>E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 xml:space="preserve">ntrada </w:t>
      </w:r>
      <w:r>
        <w:rPr>
          <w:rFonts w:hint="default" w:ascii="Arial" w:hAnsi="Arial" w:eastAsia="SimSun" w:cs="Arial"/>
          <w:sz w:val="22"/>
          <w:szCs w:val="22"/>
          <w:lang w:val="pt-PT"/>
        </w:rPr>
        <w:t xml:space="preserve">“Carpaccio de abóbora com codorniz grelhada e molho escabeche”; um 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>P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>rato Principal</w:t>
      </w:r>
      <w:r>
        <w:rPr>
          <w:rFonts w:hint="default" w:ascii="Arial" w:hAnsi="Arial" w:eastAsia="SimSun" w:cs="Arial"/>
          <w:sz w:val="22"/>
          <w:szCs w:val="22"/>
          <w:lang w:val="pt-PT"/>
        </w:rPr>
        <w:t xml:space="preserve"> “Sável Frito com Migas de Legumes e Creme de Beterraba” e uma 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>So</w:t>
      </w:r>
      <w:r>
        <w:rPr>
          <w:rFonts w:hint="default" w:ascii="Arial" w:hAnsi="Arial" w:eastAsia="SimSun" w:cs="Arial"/>
          <w:b/>
          <w:bCs/>
          <w:sz w:val="22"/>
          <w:szCs w:val="22"/>
          <w:lang w:val="pt-PT"/>
        </w:rPr>
        <w:t>bremesa</w:t>
      </w:r>
      <w:r>
        <w:rPr>
          <w:rFonts w:hint="default" w:ascii="Arial" w:hAnsi="Arial" w:eastAsia="SimSun" w:cs="Arial"/>
          <w:sz w:val="22"/>
          <w:szCs w:val="22"/>
          <w:lang w:val="pt-PT"/>
        </w:rPr>
        <w:t xml:space="preserve"> “Gelado de poejo e tangerina em tigelada de Abrantes com telha de amêndoa”.</w:t>
      </w:r>
    </w:p>
    <w:p w14:paraId="36C505EB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>A entrada combina a abóbora manteiga, produto sazonal e versátil, com codorniz grelhada, proteína magra e pouco utilizada, sendo o escabeche uma técnica tradicional portuguesa reinterpretada de forma leve.</w:t>
      </w:r>
    </w:p>
    <w:p w14:paraId="5189C029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 xml:space="preserve">O prato principal tem como elemento central o sável, peixe de rio emblemático da região, preparado de forma tradicional (frito) e equilibrado com migas de legumes e um creme de beterraba, que acrescenta valor nutricional, cor e textura. </w:t>
      </w:r>
    </w:p>
    <w:p w14:paraId="6578467E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O sável, um peixe de rio tradicional na gastronomia portuguesa, é uma escolha sustentável que promove o consumo de peixes locais, reduzindo a pegada ecológica associada ao transporte de produtos importados. Sendo rico em ómega-3, iodo e sel</w:t>
      </w:r>
      <w:r>
        <w:rPr>
          <w:rFonts w:hint="default" w:ascii="Arial" w:hAnsi="Arial" w:cs="Arial"/>
          <w:sz w:val="22"/>
          <w:szCs w:val="22"/>
          <w:lang w:val="pt-PT"/>
        </w:rPr>
        <w:t>é</w:t>
      </w:r>
      <w:r>
        <w:rPr>
          <w:rFonts w:hint="default" w:ascii="Arial" w:hAnsi="Arial" w:cs="Arial"/>
          <w:sz w:val="22"/>
          <w:szCs w:val="22"/>
        </w:rPr>
        <w:t>nio, contribui para a saúde cardiovascular e cerebral.</w:t>
      </w:r>
    </w:p>
    <w:p w14:paraId="7809D8B9">
      <w:pPr>
        <w:spacing w:line="360" w:lineRule="auto"/>
        <w:jc w:val="both"/>
        <w:rPr>
          <w:rFonts w:hint="default" w:ascii="Arial" w:hAnsi="Arial" w:eastAsia="SimSun" w:cs="Arial"/>
          <w:sz w:val="22"/>
          <w:szCs w:val="22"/>
          <w:lang w:val="pt-PT"/>
        </w:rPr>
      </w:pPr>
      <w:r>
        <w:rPr>
          <w:rFonts w:hint="default" w:ascii="Arial" w:hAnsi="Arial" w:cs="Arial"/>
          <w:sz w:val="22"/>
          <w:szCs w:val="22"/>
        </w:rPr>
        <w:t>A sua preparação com limão, alho, sal e pimenta respeita os métodos tradicionais da cozinha mediterrânica, destacando os sabores naturais sem a necessidade de aditivos artificiais. O facto de ser temperado de véspera permite um melhor aproveitamento dos ingredientes e reduz a necessidade de condimentos excessivos</w:t>
      </w:r>
      <w:r>
        <w:rPr>
          <w:rFonts w:hint="default" w:ascii="Arial" w:hAnsi="Arial" w:cs="Arial"/>
          <w:sz w:val="22"/>
          <w:szCs w:val="22"/>
          <w:lang w:val="pt-PT"/>
        </w:rPr>
        <w:t>, assim como permite que as espinhas abundantes neste peixe sejam eliminadas pelas acidez do limão.</w:t>
      </w:r>
    </w:p>
    <w:p w14:paraId="404ABBE5">
      <w:pPr>
        <w:spacing w:line="360" w:lineRule="auto"/>
        <w:jc w:val="both"/>
        <w:rPr>
          <w:rFonts w:hint="default" w:ascii="Arial" w:hAnsi="Arial" w:cs="Arial"/>
          <w:sz w:val="22"/>
          <w:szCs w:val="22"/>
          <w:lang w:val="pt-PT"/>
        </w:rPr>
      </w:pPr>
      <w:r>
        <w:rPr>
          <w:rFonts w:hint="default" w:ascii="Arial" w:hAnsi="Arial" w:eastAsia="SimSun" w:cs="Arial"/>
          <w:sz w:val="22"/>
          <w:szCs w:val="22"/>
          <w:lang w:val="pt-PT"/>
        </w:rPr>
        <w:t>A sobremesa assenta na tigelada de Abrantes, doce tradicional da região, reinterpretada com um gelado aromático de poejo (cresce de forma espontanea nos terrenos da nossa escola) e tangerina, reduzindo a perceção de doçura e acrescentando frescura, acompanhada por uma telha de amêndoa, ingrediente típico da Dieta Mediterrânica.</w:t>
      </w:r>
      <w:r>
        <w:rPr>
          <w:rFonts w:hint="default" w:ascii="Arial" w:hAnsi="Arial" w:cs="Arial"/>
          <w:sz w:val="22"/>
          <w:szCs w:val="22"/>
          <w:lang w:val="pt-PT"/>
        </w:rPr>
        <w:t xml:space="preserve"> </w:t>
      </w:r>
    </w:p>
    <w:p w14:paraId="2E0D05B1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  <w:lang w:val="pt-PT"/>
        </w:rPr>
        <w:t>Assim, e</w:t>
      </w:r>
      <w:r>
        <w:rPr>
          <w:rFonts w:hint="default" w:ascii="Arial" w:hAnsi="Arial" w:cs="Arial"/>
          <w:sz w:val="22"/>
          <w:szCs w:val="22"/>
        </w:rPr>
        <w:t xml:space="preserve">ste menu é um reflexo da </w:t>
      </w:r>
      <w:r>
        <w:rPr>
          <w:rFonts w:hint="default" w:ascii="Arial" w:hAnsi="Arial" w:cs="Arial"/>
          <w:b/>
          <w:bCs/>
          <w:sz w:val="22"/>
          <w:szCs w:val="22"/>
        </w:rPr>
        <w:t>dieta mediterrânica</w:t>
      </w:r>
      <w:r>
        <w:rPr>
          <w:rFonts w:hint="default" w:ascii="Arial" w:hAnsi="Arial" w:cs="Arial"/>
          <w:sz w:val="22"/>
          <w:szCs w:val="22"/>
        </w:rPr>
        <w:t xml:space="preserve"> e dos </w:t>
      </w:r>
      <w:r>
        <w:rPr>
          <w:rFonts w:hint="default" w:ascii="Arial" w:hAnsi="Arial" w:cs="Arial"/>
          <w:b/>
          <w:bCs/>
          <w:sz w:val="22"/>
          <w:szCs w:val="22"/>
        </w:rPr>
        <w:t>princípios da sustentabilidade</w:t>
      </w:r>
      <w:r>
        <w:rPr>
          <w:rFonts w:hint="default" w:ascii="Arial" w:hAnsi="Arial" w:cs="Arial"/>
          <w:sz w:val="22"/>
          <w:szCs w:val="22"/>
        </w:rPr>
        <w:t>, promovendo o consumo de ingredientes locais, sazonais e de produção responsável. A ementa destaca-se pela redução do desperdício alimentar, pelo aproveitamento integral dos ingredientes e pelo uso de técnicas tradicionais e saudáveis de confeção. Além de proporcionar uma experiência gastronómica autêntica, incentiva a educação alimentar e a responsabilidade ambiental, alinhando-se com os valores fundamentais do concurso Eco-Cozinheiros.</w:t>
      </w:r>
    </w:p>
    <w:p w14:paraId="185C6E90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  <w:lang w:val="pt-PT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>TÉCNICAS UTILIZADAS</w:t>
      </w:r>
    </w:p>
    <w:p w14:paraId="6EA3E7C1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A entrada,</w:t>
      </w:r>
      <w:r>
        <w:rPr>
          <w:rFonts w:hint="default" w:ascii="Arial" w:hAnsi="Arial" w:cs="Arial"/>
          <w:b/>
          <w:bCs/>
          <w:sz w:val="22"/>
          <w:szCs w:val="22"/>
        </w:rPr>
        <w:t xml:space="preserve"> “Carpaccio de abóbora com codorniz grelhada e molho escabeche”</w:t>
      </w:r>
      <w:r>
        <w:rPr>
          <w:rFonts w:hint="default" w:ascii="Arial" w:hAnsi="Arial" w:cs="Arial"/>
          <w:sz w:val="22"/>
          <w:szCs w:val="22"/>
        </w:rPr>
        <w:t>, baseia-se numa técnica de corte fino aplicada à abóbora manteiga, previamente marinada em citrinos e azeite, preservando textura, cor e valor nutricional. A codorniz é preparada através de grelha, técnica que permite uma confeção rápida, com controlo da gordura adicionada e valorização do sabor natural da carne. O molho escabeche, elaborado com azeite, vinagre de maçã, aromáticos e especiarias, inspira-se numa técnica tradicional portuguesa de conservação e tempero, sendo aqui reinterpretado de forma mais leve, contribuindo para complexidade aromática e equilíbrio ácido-gordo do prato.</w:t>
      </w:r>
    </w:p>
    <w:p w14:paraId="45C296F8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O prato principal, </w:t>
      </w:r>
      <w:r>
        <w:rPr>
          <w:rFonts w:hint="default" w:ascii="Arial" w:hAnsi="Arial" w:cs="Arial"/>
          <w:b/>
          <w:bCs/>
          <w:sz w:val="22"/>
          <w:szCs w:val="22"/>
        </w:rPr>
        <w:t>“Sável frito com migas de legumes e creme de beterraba”</w:t>
      </w:r>
      <w:r>
        <w:rPr>
          <w:rFonts w:hint="default" w:ascii="Arial" w:hAnsi="Arial" w:cs="Arial"/>
          <w:sz w:val="22"/>
          <w:szCs w:val="22"/>
        </w:rPr>
        <w:t>, assenta na valorização de um peixe de rio emblemático da região do Médio Tejo. O sável é submetido a fritura controlada em gordura vegetal, técnica tradicional que garante textura crocante exterior e suculência interior, sendo equilibrada pela presença de acompanhamentos de base vegetal. As migas de legumes incorporam hortícolas de época e broa de milho, utilizando uma técnica de salteado em azeite que promove a ligação dos ingredientes e a concentração de sabores. O creme de beterraba é obtido por cozedura suave e trituração, resultando numa preparação aveludada que acrescenta cor, fibra e compostos antioxidantes, contribuindo para o equilíbrio visual e nutricional do prato.</w:t>
      </w:r>
    </w:p>
    <w:p w14:paraId="4E386CE7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A sobremesa, </w:t>
      </w:r>
      <w:r>
        <w:rPr>
          <w:rFonts w:hint="default" w:ascii="Arial" w:hAnsi="Arial" w:cs="Arial"/>
          <w:b/>
          <w:bCs/>
          <w:sz w:val="22"/>
          <w:szCs w:val="22"/>
        </w:rPr>
        <w:t>“Gelado de poejo e tangerina em tigelada de Abrantes com telha de amêndoa”</w:t>
      </w:r>
      <w:r>
        <w:rPr>
          <w:rFonts w:hint="default" w:ascii="Arial" w:hAnsi="Arial" w:cs="Arial"/>
          <w:sz w:val="22"/>
          <w:szCs w:val="22"/>
        </w:rPr>
        <w:t>, constitui uma reinterpretação contemporânea de um doce tradicional regional. A tigelada de Abrantes é preparada segundo técnica clássica de cozedura lenta em forno, respeitando a sua identidade e textura características. O gelado de poejo e tangerina é elaborado através de infusão aromática e congelação controlada, permitindo reduzir a perceção de doçura e introduzir frescura e notas herbais. A telha de amêndoa, obtida por confeção em forno, acrescenta textura crocante e reforça a matriz mediterrânica da sobremesa, através do uso de frutos secos.</w:t>
      </w:r>
    </w:p>
    <w:p w14:paraId="44FAF0C6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</w:rPr>
        <w:t>VALOR NUTRICIONAL – POR DOSE (1 PESSOA)</w:t>
      </w:r>
    </w:p>
    <w:p w14:paraId="2A062C26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 xml:space="preserve">Entrada - </w:t>
      </w:r>
      <w:r>
        <w:rPr>
          <w:rFonts w:hint="default" w:ascii="Arial" w:hAnsi="Arial" w:cs="Arial"/>
          <w:b/>
          <w:bCs/>
          <w:sz w:val="22"/>
          <w:szCs w:val="22"/>
        </w:rPr>
        <w:t xml:space="preserve"> “Carpaccio de abóbora com codorniz grelhada e molho escabeche”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88"/>
        <w:gridCol w:w="1077"/>
      </w:tblGrid>
      <w:tr w14:paraId="316E3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7B5A807A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Parâmetro</w:t>
            </w:r>
          </w:p>
        </w:tc>
        <w:tc>
          <w:tcPr>
            <w:tcW w:w="0" w:type="auto"/>
            <w:shd w:val="clear"/>
            <w:vAlign w:val="center"/>
          </w:tcPr>
          <w:p w14:paraId="75B008EC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Por dose</w:t>
            </w:r>
          </w:p>
        </w:tc>
      </w:tr>
      <w:tr w14:paraId="74C1A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0520FFD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Energia</w:t>
            </w:r>
          </w:p>
        </w:tc>
        <w:tc>
          <w:tcPr>
            <w:tcW w:w="0" w:type="auto"/>
            <w:shd w:val="clear"/>
            <w:vAlign w:val="center"/>
          </w:tcPr>
          <w:p w14:paraId="07D4D15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495 kcal</w:t>
            </w:r>
          </w:p>
        </w:tc>
      </w:tr>
      <w:tr w14:paraId="79F0B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BF8FEBC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Proteínas</w:t>
            </w:r>
          </w:p>
        </w:tc>
        <w:tc>
          <w:tcPr>
            <w:tcW w:w="0" w:type="auto"/>
            <w:shd w:val="clear"/>
            <w:vAlign w:val="center"/>
          </w:tcPr>
          <w:p w14:paraId="08FD8FF5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30,5 g</w:t>
            </w:r>
          </w:p>
        </w:tc>
      </w:tr>
      <w:tr w14:paraId="7410AF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420B428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Lípidos</w:t>
            </w:r>
          </w:p>
        </w:tc>
        <w:tc>
          <w:tcPr>
            <w:tcW w:w="0" w:type="auto"/>
            <w:shd w:val="clear"/>
            <w:vAlign w:val="center"/>
          </w:tcPr>
          <w:p w14:paraId="607B13F0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35,5 g</w:t>
            </w:r>
          </w:p>
        </w:tc>
      </w:tr>
      <w:tr w14:paraId="359B3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04D31B2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Hidratos de Carbono</w:t>
            </w:r>
          </w:p>
        </w:tc>
        <w:tc>
          <w:tcPr>
            <w:tcW w:w="0" w:type="auto"/>
            <w:shd w:val="clear"/>
            <w:vAlign w:val="center"/>
          </w:tcPr>
          <w:p w14:paraId="6C667699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15,5 g</w:t>
            </w:r>
          </w:p>
        </w:tc>
      </w:tr>
      <w:tr w14:paraId="7D231E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646A9FD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└ dos quais açúcares</w:t>
            </w:r>
          </w:p>
        </w:tc>
        <w:tc>
          <w:tcPr>
            <w:tcW w:w="0" w:type="auto"/>
            <w:shd w:val="clear"/>
            <w:vAlign w:val="center"/>
          </w:tcPr>
          <w:p w14:paraId="252E1354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7 g</w:t>
            </w:r>
          </w:p>
        </w:tc>
      </w:tr>
      <w:tr w14:paraId="317E4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511CDF8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Fibra alimentar</w:t>
            </w:r>
          </w:p>
        </w:tc>
        <w:tc>
          <w:tcPr>
            <w:tcW w:w="0" w:type="auto"/>
            <w:shd w:val="clear"/>
            <w:vAlign w:val="center"/>
          </w:tcPr>
          <w:p w14:paraId="6DA6376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4 g</w:t>
            </w:r>
          </w:p>
        </w:tc>
      </w:tr>
      <w:tr w14:paraId="2FB211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3703A69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Sal</w:t>
            </w:r>
          </w:p>
        </w:tc>
        <w:tc>
          <w:tcPr>
            <w:tcW w:w="0" w:type="auto"/>
            <w:shd w:val="clear"/>
            <w:vAlign w:val="center"/>
          </w:tcPr>
          <w:p w14:paraId="2B7DBA72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sz w:val="22"/>
                <w:szCs w:val="22"/>
              </w:rPr>
            </w:pPr>
            <w:r>
              <w:rPr>
                <w:rFonts w:hint="default" w:ascii="Arial" w:hAnsi="Arial" w:cs="Arial"/>
                <w:sz w:val="22"/>
                <w:szCs w:val="22"/>
                <w:lang w:val="en-US" w:eastAsia="zh-CN"/>
              </w:rPr>
              <w:t>≈ 1,28 g</w:t>
            </w:r>
          </w:p>
        </w:tc>
      </w:tr>
    </w:tbl>
    <w:p w14:paraId="3517750C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 ANÁLISE NUTRICIONAL (entrada)</w:t>
      </w:r>
    </w:p>
    <w:p w14:paraId="39DB4C15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Elevado teor proteico para uma entrada, proveniente da codorniz (proteína de alto valor biológico)</w:t>
      </w:r>
    </w:p>
    <w:p w14:paraId="2DFE0D06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Baixo teor de hidratos de carbono, adequado a início de refeição</w:t>
      </w:r>
    </w:p>
    <w:p w14:paraId="084CD409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Boa presença de fibra alimentar, graças à abóbora e aos citrinos</w:t>
      </w:r>
    </w:p>
    <w:p w14:paraId="50E1455F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Lípidos maioritariamente insaturados, com forte predominância de azeite</w:t>
      </w:r>
    </w:p>
    <w:p w14:paraId="5580B7A8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Perfil aromático intenso, permitindo reduzir sal sem comprometer sabor</w:t>
      </w:r>
    </w:p>
    <w:p w14:paraId="381B7FC9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Forte alinhamento com a Dieta Mediterrânica (azeite, hortícolas, ervas aromáticas, vinagre)</w:t>
      </w:r>
    </w:p>
    <w:p w14:paraId="6234DC38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</w:rPr>
        <w:t>Conclusão nutricional:</w:t>
      </w:r>
      <w:r>
        <w:rPr>
          <w:rFonts w:hint="default" w:ascii="Arial" w:hAnsi="Arial" w:cs="Arial"/>
          <w:sz w:val="22"/>
          <w:szCs w:val="22"/>
        </w:rPr>
        <w:br w:type="textWrapping"/>
      </w:r>
      <w:r>
        <w:rPr>
          <w:rFonts w:hint="default" w:ascii="Arial" w:hAnsi="Arial" w:cs="Arial"/>
          <w:sz w:val="22"/>
          <w:szCs w:val="22"/>
        </w:rPr>
        <w:t>Esta entrada apresenta um perfil nutricional equilibrado, rico em proteína, com teor moderado de gordura de boa qualidade e hidratos de carbono reduzidos, contribuindo para uma refeição completa e harmoniosa.</w:t>
      </w:r>
    </w:p>
    <w:p w14:paraId="7ACF4DF4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A entrada apresenta um valor energético aproximado de 495 kcal por dose, destacando-se pelo elevado teor proteico proveniente da codorniz e pela utilização predominante de azeite como gordura de confeção. A presença de abóbora manteiga e citrinos contribui para o aporte de fibra alimentar, vitaminas e minerais, reforçando o equilíbrio nutricional e a adequação aos princípios da Dieta Mediterrânica.</w:t>
      </w:r>
    </w:p>
    <w:p w14:paraId="20B056DE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 xml:space="preserve">Prato Principal - </w:t>
      </w:r>
      <w:r>
        <w:rPr>
          <w:rFonts w:hint="default" w:ascii="Arial" w:hAnsi="Arial" w:cs="Arial"/>
          <w:b/>
          <w:bCs/>
          <w:sz w:val="22"/>
          <w:szCs w:val="22"/>
        </w:rPr>
        <w:t>“Sável fr</w:t>
      </w:r>
      <w:r>
        <w:rPr>
          <w:rFonts w:hint="default" w:ascii="Arial" w:hAnsi="Arial" w:cs="Arial"/>
          <w:b/>
          <w:bCs/>
          <w:sz w:val="22"/>
          <w:szCs w:val="22"/>
        </w:rPr>
        <w:t>ito com migas de legumes e creme de beterraba”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88"/>
        <w:gridCol w:w="1077"/>
      </w:tblGrid>
      <w:tr w14:paraId="29B96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7ABD5F8B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Parâmetro</w:t>
            </w:r>
          </w:p>
        </w:tc>
        <w:tc>
          <w:tcPr>
            <w:tcW w:w="0" w:type="auto"/>
            <w:shd w:val="clear"/>
            <w:vAlign w:val="center"/>
          </w:tcPr>
          <w:p w14:paraId="7351CE37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Por dose</w:t>
            </w:r>
          </w:p>
        </w:tc>
      </w:tr>
      <w:tr w14:paraId="491F6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831C805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Energia</w:t>
            </w:r>
          </w:p>
        </w:tc>
        <w:tc>
          <w:tcPr>
            <w:tcW w:w="0" w:type="auto"/>
            <w:shd w:val="clear"/>
            <w:vAlign w:val="center"/>
          </w:tcPr>
          <w:p w14:paraId="65DEE6A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740 kcal</w:t>
            </w:r>
          </w:p>
        </w:tc>
      </w:tr>
      <w:tr w14:paraId="13750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C27B9A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Proteínas</w:t>
            </w:r>
          </w:p>
        </w:tc>
        <w:tc>
          <w:tcPr>
            <w:tcW w:w="0" w:type="auto"/>
            <w:shd w:val="clear"/>
            <w:vAlign w:val="center"/>
          </w:tcPr>
          <w:p w14:paraId="3723FC98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23 g</w:t>
            </w:r>
          </w:p>
        </w:tc>
      </w:tr>
      <w:tr w14:paraId="050B18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6408570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Lípidos</w:t>
            </w:r>
          </w:p>
        </w:tc>
        <w:tc>
          <w:tcPr>
            <w:tcW w:w="0" w:type="auto"/>
            <w:shd w:val="clear"/>
            <w:vAlign w:val="center"/>
          </w:tcPr>
          <w:p w14:paraId="192C512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56 g</w:t>
            </w:r>
          </w:p>
        </w:tc>
      </w:tr>
      <w:tr w14:paraId="10EAD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9ADF3E5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Hidratos de Carbono</w:t>
            </w:r>
          </w:p>
        </w:tc>
        <w:tc>
          <w:tcPr>
            <w:tcW w:w="0" w:type="auto"/>
            <w:shd w:val="clear"/>
            <w:vAlign w:val="center"/>
          </w:tcPr>
          <w:p w14:paraId="64AF6BE9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36 g</w:t>
            </w:r>
          </w:p>
        </w:tc>
      </w:tr>
      <w:tr w14:paraId="1BA4F3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B1FD0F4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└ dos quais açúcares</w:t>
            </w:r>
          </w:p>
        </w:tc>
        <w:tc>
          <w:tcPr>
            <w:tcW w:w="0" w:type="auto"/>
            <w:shd w:val="clear"/>
            <w:vAlign w:val="center"/>
          </w:tcPr>
          <w:p w14:paraId="22738B8C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10,5 g</w:t>
            </w:r>
          </w:p>
        </w:tc>
      </w:tr>
      <w:tr w14:paraId="1FB4C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E103901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Fibra alimentar</w:t>
            </w:r>
          </w:p>
        </w:tc>
        <w:tc>
          <w:tcPr>
            <w:tcW w:w="0" w:type="auto"/>
            <w:shd w:val="clear"/>
            <w:vAlign w:val="center"/>
          </w:tcPr>
          <w:p w14:paraId="1E9F2644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8,5 g</w:t>
            </w:r>
          </w:p>
        </w:tc>
      </w:tr>
      <w:tr w14:paraId="605AA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E4680F4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Sal</w:t>
            </w:r>
          </w:p>
        </w:tc>
        <w:tc>
          <w:tcPr>
            <w:tcW w:w="0" w:type="auto"/>
            <w:shd w:val="clear"/>
            <w:vAlign w:val="center"/>
          </w:tcPr>
          <w:p w14:paraId="336819BD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1,95 g</w:t>
            </w:r>
          </w:p>
        </w:tc>
      </w:tr>
    </w:tbl>
    <w:p w14:paraId="694C4D7E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ANÁLISE NUTRICIONAL ( prato principal)</w:t>
      </w:r>
    </w:p>
    <w:p w14:paraId="694597B2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Valor energético adequado a um prato principal em restauração profissional</w:t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.</w:t>
      </w:r>
    </w:p>
    <w:p w14:paraId="4E485F28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Bom aporte proteico (sável – proteína de elevado valor biológico).</w:t>
      </w:r>
    </w:p>
    <w:p w14:paraId="7285EDC4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Elevado teor de fibra alimentar, graças à presença de beterraba, brócolos, espinafres, broa e farinha de milho.</w:t>
      </w:r>
    </w:p>
    <w:p w14:paraId="79B1AA24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Lípidos maioritariamente insaturados, com forte predominância de azeite</w:t>
      </w:r>
    </w:p>
    <w:p w14:paraId="22C1C8EF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Hidratos de carbono moderados, maioritariamente complexos</w:t>
      </w:r>
    </w:p>
    <w:p w14:paraId="25A5451D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>Conclusão nutricional:</w:t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br w:type="textWrapping"/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Este prato principal apresenta um perfil nutricional equilibrado, combinando proteína de qualidade, hortícolas variados, hidratos de carbono complexos e lípidos saudáveis, enquadrando-se nos princípios da Dieta Mediterrânica e da sustentabilidade alimentar.</w:t>
      </w:r>
    </w:p>
    <w:p w14:paraId="1677B987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O prato principal apresenta um valor energético aproximado de 740 kcal por dose, adequado às exigências de uma refeição principal. Destaca-se pelo elevado teor de fibra alimentar e pela utilização predominante de azeite como gordura de confeção. O sável contribui com proteína de elevado valor biológico, enquanto a diversidade de legumes reforça o equilíbrio nutricional e a adequação à Dieta Mediterrânica.</w:t>
      </w:r>
    </w:p>
    <w:p w14:paraId="3A67CEAB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 xml:space="preserve">Sobremesa - </w:t>
      </w:r>
      <w:r>
        <w:rPr>
          <w:rFonts w:hint="default" w:ascii="Arial" w:hAnsi="Arial" w:cs="Arial"/>
          <w:b/>
          <w:bCs/>
          <w:sz w:val="22"/>
          <w:szCs w:val="22"/>
        </w:rPr>
        <w:t>“Gelado de poejo e tangerina em tigelada de Abrantes com telha de amêndoa”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88"/>
        <w:gridCol w:w="1077"/>
      </w:tblGrid>
      <w:tr w14:paraId="3BD320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41EA6C85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Parâmetro</w:t>
            </w:r>
          </w:p>
        </w:tc>
        <w:tc>
          <w:tcPr>
            <w:tcW w:w="0" w:type="auto"/>
            <w:shd w:val="clear"/>
            <w:vAlign w:val="center"/>
          </w:tcPr>
          <w:p w14:paraId="66C89305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Por dose</w:t>
            </w:r>
          </w:p>
        </w:tc>
      </w:tr>
      <w:tr w14:paraId="5768F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11AE5AB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Energia</w:t>
            </w:r>
          </w:p>
        </w:tc>
        <w:tc>
          <w:tcPr>
            <w:tcW w:w="0" w:type="auto"/>
            <w:shd w:val="clear"/>
            <w:vAlign w:val="center"/>
          </w:tcPr>
          <w:p w14:paraId="670BED2C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660 kcal</w:t>
            </w:r>
          </w:p>
        </w:tc>
      </w:tr>
      <w:tr w14:paraId="5D721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AC3F7E1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Proteínas</w:t>
            </w:r>
          </w:p>
        </w:tc>
        <w:tc>
          <w:tcPr>
            <w:tcW w:w="0" w:type="auto"/>
            <w:shd w:val="clear"/>
            <w:vAlign w:val="center"/>
          </w:tcPr>
          <w:p w14:paraId="1B4878C9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21 g</w:t>
            </w:r>
          </w:p>
        </w:tc>
      </w:tr>
      <w:tr w14:paraId="0D1A72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82C6BD8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Lípidos</w:t>
            </w:r>
          </w:p>
        </w:tc>
        <w:tc>
          <w:tcPr>
            <w:tcW w:w="0" w:type="auto"/>
            <w:shd w:val="clear"/>
            <w:vAlign w:val="center"/>
          </w:tcPr>
          <w:p w14:paraId="54C6A11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40 g</w:t>
            </w:r>
          </w:p>
        </w:tc>
      </w:tr>
      <w:tr w14:paraId="3E259C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F5CBE9A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Hidratos de Carbono</w:t>
            </w:r>
          </w:p>
        </w:tc>
        <w:tc>
          <w:tcPr>
            <w:tcW w:w="0" w:type="auto"/>
            <w:shd w:val="clear"/>
            <w:vAlign w:val="center"/>
          </w:tcPr>
          <w:p w14:paraId="771B8C37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60 g</w:t>
            </w:r>
          </w:p>
        </w:tc>
      </w:tr>
      <w:tr w14:paraId="2D4B8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13E5F2E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└ dos quais açúcares</w:t>
            </w:r>
          </w:p>
        </w:tc>
        <w:tc>
          <w:tcPr>
            <w:tcW w:w="0" w:type="auto"/>
            <w:shd w:val="clear"/>
            <w:vAlign w:val="center"/>
          </w:tcPr>
          <w:p w14:paraId="35BC9321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50 g</w:t>
            </w:r>
          </w:p>
        </w:tc>
      </w:tr>
      <w:tr w14:paraId="5ED2A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A7C1ACC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Fibra alimentar</w:t>
            </w:r>
          </w:p>
        </w:tc>
        <w:tc>
          <w:tcPr>
            <w:tcW w:w="0" w:type="auto"/>
            <w:shd w:val="clear"/>
            <w:vAlign w:val="center"/>
          </w:tcPr>
          <w:p w14:paraId="108FC2DD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3,7 g</w:t>
            </w:r>
          </w:p>
        </w:tc>
      </w:tr>
      <w:tr w14:paraId="23DE70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8707E56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Sal</w:t>
            </w:r>
          </w:p>
        </w:tc>
        <w:tc>
          <w:tcPr>
            <w:tcW w:w="0" w:type="auto"/>
            <w:shd w:val="clear"/>
            <w:vAlign w:val="center"/>
          </w:tcPr>
          <w:p w14:paraId="1213EE94">
            <w:pPr>
              <w:pStyle w:val="10"/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/>
              </w:rPr>
            </w:pPr>
            <w:r>
              <w:rPr>
                <w:rFonts w:hint="default" w:ascii="Arial" w:hAnsi="Arial" w:cs="Arial"/>
                <w:b w:val="0"/>
                <w:bCs w:val="0"/>
                <w:sz w:val="22"/>
                <w:szCs w:val="22"/>
                <w:lang w:val="pt-PT" w:eastAsia="zh-CN"/>
              </w:rPr>
              <w:t>≈ 0,48 g</w:t>
            </w:r>
          </w:p>
        </w:tc>
      </w:tr>
    </w:tbl>
    <w:p w14:paraId="3E98E1D4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 xml:space="preserve">ANÁLISE NUTRICIONAL </w:t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(sobremesa)</w:t>
      </w:r>
    </w:p>
    <w:p w14:paraId="408D2F0B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Valor energético adequado para uma sobremesa tradicional reinterpretada.</w:t>
      </w:r>
    </w:p>
    <w:p w14:paraId="72926208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Bom teor proteico (ovos, leite, iogurte) → superior à média das sobremesas.</w:t>
      </w:r>
    </w:p>
    <w:p w14:paraId="26B1EB99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Lípidos maioritariamente de boa qualidade, provenientes de amêndoas, ovos e lacticínios.</w:t>
      </w:r>
    </w:p>
    <w:p w14:paraId="45EFD6B9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Fibra alimentar relevante (amêndoa, tangerina, poejo, farinha).</w:t>
      </w:r>
    </w:p>
    <w:p w14:paraId="4D68EC01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 xml:space="preserve">Açúcares elevados, mas diluídos numa sobremesa completa, equilibrados pela presença de gelado aromático de poejo. </w:t>
      </w:r>
    </w:p>
    <w:p w14:paraId="5CC7366C">
      <w:pPr>
        <w:pStyle w:val="10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hanging="420" w:firstLineChars="0"/>
        <w:jc w:val="both"/>
        <w:textAlignment w:val="auto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Sal dentro de valores aceitáveis para sobremesa (&lt;0,5 g/dose).</w:t>
      </w:r>
    </w:p>
    <w:p w14:paraId="2F80A916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/>
          <w:bCs/>
          <w:sz w:val="22"/>
          <w:szCs w:val="22"/>
          <w:lang w:val="pt-PT"/>
        </w:rPr>
        <w:t>Conclusão nutricional:</w:t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br w:type="textWrapping"/>
      </w: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Apesar de integrar um doce tradicional (tigelada), a sobremesa apresenta equilíbrio superior à média, devido à presença de proteína, fruta, frutos secos e ervas aromáticas, reduzindo o impacto glicémico global.</w:t>
      </w:r>
    </w:p>
    <w:p w14:paraId="7F21EE2D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 w:val="0"/>
          <w:bCs w:val="0"/>
          <w:sz w:val="22"/>
          <w:szCs w:val="22"/>
          <w:lang w:val="pt-PT"/>
        </w:rPr>
      </w:pPr>
      <w:r>
        <w:rPr>
          <w:rFonts w:hint="default" w:ascii="Arial" w:hAnsi="Arial" w:cs="Arial"/>
          <w:b w:val="0"/>
          <w:bCs w:val="0"/>
          <w:sz w:val="22"/>
          <w:szCs w:val="22"/>
          <w:lang w:val="pt-PT"/>
        </w:rPr>
        <w:t>A sobremesa apresenta um valor energético aproximado de 660 kcal por dose, enquadrado numa refeição completa. O perfil nutricional é enriquecido pela presença de proteína de elevado valor biológico (ovos, leite e iogurte), fibra alimentar proveniente da fruta e frutos secos, bem como lípidos maioritariamente insaturados. O teor de açúcares, característico de uma sobremesa tradicional, é equilibrado pela utilização de ervas aromáticas, fruta fresca e pela inclusão de um gelado, que reduz a perceção de doçura e melhora o equilíbrio global do prato.</w:t>
      </w:r>
    </w:p>
    <w:p w14:paraId="450391B4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Do ponto de vista </w:t>
      </w:r>
      <w:r>
        <w:rPr>
          <w:rFonts w:hint="default" w:ascii="Arial" w:hAnsi="Arial" w:cs="Arial"/>
          <w:b/>
          <w:bCs/>
          <w:sz w:val="22"/>
          <w:szCs w:val="22"/>
        </w:rPr>
        <w:t>nutricional</w:t>
      </w:r>
      <w:r>
        <w:rPr>
          <w:rFonts w:hint="default" w:ascii="Arial" w:hAnsi="Arial" w:cs="Arial"/>
          <w:sz w:val="22"/>
          <w:szCs w:val="22"/>
        </w:rPr>
        <w:t>, a ementa apresenta um perfil equilibrado, combinando proteína de elevado valor biológico, hidratos de carbono maioritariamente complexos, fibra alimentar proveniente de hortícolas, fruta e frutos secos, e lípidos predominantemente insaturados, com destaque para o azeite. Apesar da presença de técnicas como a fritura e de um doce tradicional, o equilíbrio global da refeição é assegurado pela diversidade de alimentos, pela moderação nas porções e pela complementaridade entre os pratos.</w:t>
      </w:r>
    </w:p>
    <w:p w14:paraId="0ADA9828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</w:p>
    <w:p w14:paraId="6A351A79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Em termos de </w:t>
      </w:r>
      <w:r>
        <w:rPr>
          <w:rFonts w:hint="default" w:ascii="Arial" w:hAnsi="Arial" w:cs="Arial"/>
          <w:b/>
          <w:bCs/>
          <w:sz w:val="22"/>
          <w:szCs w:val="22"/>
        </w:rPr>
        <w:t>sustentabilidade e exequibilidade</w:t>
      </w:r>
      <w:r>
        <w:rPr>
          <w:rFonts w:hint="default" w:ascii="Arial" w:hAnsi="Arial" w:cs="Arial"/>
          <w:sz w:val="22"/>
          <w:szCs w:val="22"/>
        </w:rPr>
        <w:t>, a ementa utiliza matérias-primas acessíveis, de origem local ou regional, com técnicas reproduzíveis em restauração profissional. As preparações permitem organização eficiente de trabalho, controlo de custos e facilidade de reprodução, cumprindo os requisitos do escalão profissional do concurso.</w:t>
      </w:r>
    </w:p>
    <w:p w14:paraId="60CE00EC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Conclui-se que esta proposta gastronómica responde de forma consistente aos critérios de avaliação do Eco-Cozinheiros, destacando-se pela originalidade controlada, respeito pela Dieta Mediterrânica, sustentabilidade dos ingredientes, equilíbrio nutricional e viabilidade técnica em contexto de restauração.</w:t>
      </w:r>
    </w:p>
    <w:p w14:paraId="285F8C11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b/>
          <w:bCs/>
          <w:sz w:val="22"/>
          <w:szCs w:val="22"/>
        </w:rPr>
      </w:pPr>
      <w:r>
        <w:rPr>
          <w:rFonts w:hint="default" w:ascii="Arial" w:hAnsi="Arial" w:cs="Arial"/>
          <w:b/>
          <w:bCs/>
          <w:sz w:val="22"/>
          <w:szCs w:val="22"/>
        </w:rPr>
        <w:t>Adequação da Ementa a Regime Sem Glúten e Sem Lactose</w:t>
      </w:r>
    </w:p>
    <w:p w14:paraId="6A180FA4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De forma a tornar a ementa adequada a consumidores com intolerância ou restrição ao glúten e à lactose, são necessárias algumas adaptações técnicas pontuais, que não comprometem a identidade gastronómica, o valor nutricional nem a exequibilidade em restauração profissional.</w:t>
      </w:r>
    </w:p>
    <w:p w14:paraId="06088382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Na entrada, “Carpaccio de abóbora com codorniz grelhada e molho escabeche”, não são necessárias alterações estruturais, uma vez que os ingredientes utilizados são naturalmente isentos de glúten e lactose. Deve apenas ser assegurada a inexistência de contaminação cruzada, nomeadamente na utilização de especiarias, vinagres e superfícies de trabalho.</w:t>
      </w:r>
    </w:p>
    <w:p w14:paraId="4B452214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No prato principal, “Sável frito com migas de legumes e creme de beterraba”, a principal alteração incide sobre a componente das migas. A broa de milho deverá ser substituída por broa ou pão de milho certificado sem glúten, ou alternativamente por uma preparação de migas à base de milho, arroz ou leguminosas, garantindo textura e ligação semelhantes. A farinha de milho utilizada na fritura do sável deverá ser certificada sem glúten. Deve igualmente assegurar-se que não são utilizados lacticínios em nenhuma das preparações, o que já se verifica na formulação base do prato.</w:t>
      </w:r>
    </w:p>
    <w:p w14:paraId="5042B8F1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Na sobremesa, “Gelado de poejo e tangerina em tigelada de Abrantes com telha de amêndoa”, as adaptações são mais relevantes. A tigelada tradicional deverá ser reformulada com substituição do leite, iogurte e leite em pó por bebidas vegetais (por exemplo, bebida de amêndoa ou aveia sem glúten) e por alternativas fermentadas vegetais, mantendo textura e perfil aromático. A manteiga utilizada na telha de amêndoa deve ser substituída por gordura vegetal ou azeite suave. A farinha de trigo deverá ser substituída por farinha sem glúten (por exemplo, farinha de arroz ou mistura certificada). O gelado deve ser elaborado sem lacticínios, recorrendo a base vegetal e estabilizantes naturais, como o agar-agar, já presente na receita.</w:t>
      </w:r>
    </w:p>
    <w:p w14:paraId="79B5B3E8">
      <w:pPr>
        <w:pStyle w:val="10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Em todos os elementos da ementa, é fundamental assegurar a certificação dos ingredientes e a implementação de boas práticas de higiene e segurança alimentar, prevenindo contaminações cruzadas. Com estas adaptações, a ementa mantém-se fiel aos princípios da Dieta Mediterrânica, reforça a inclusão alimentar e demonstra elevada capacidade de adaptação a contextos profissionais e a diferentes necessidades dos consumidores.</w:t>
      </w:r>
    </w:p>
    <w:p w14:paraId="41DF3375">
      <w:pPr>
        <w:spacing w:after="0"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Em anexo colocamos algumas fotos que documentam todo o processo de confeção da ementa</w:t>
      </w:r>
      <w:r>
        <w:rPr>
          <w:rFonts w:hint="default" w:ascii="Arial" w:hAnsi="Arial" w:cs="Arial"/>
          <w:sz w:val="22"/>
          <w:szCs w:val="22"/>
          <w:lang w:val="pt-PT"/>
        </w:rPr>
        <w:t>, assim como, as fichas técnicas com os v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</w:rPr>
        <w:t xml:space="preserve">alores nutricionais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  <w:lang w:val="pt-PT"/>
        </w:rPr>
        <w:t xml:space="preserve">da 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</w:rPr>
        <w:t>ementa, segmentada por elementos e total, incluindo valor nutricional de energia, lípidos, lípidos saturados, hidratos de carbono, fibra, proteínas e sal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  <w:lang w:val="pt-PT"/>
        </w:rPr>
        <w:t>. Inclui ainda o c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</w:rPr>
        <w:t>álculo do valor económico do prato em euros</w:t>
      </w:r>
      <w:r>
        <w:rPr>
          <w:rFonts w:hint="default" w:ascii="Arial" w:hAnsi="Arial" w:eastAsia="Arial" w:cs="Arial"/>
          <w:i w:val="0"/>
          <w:iCs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FFFFF"/>
          <w:vertAlign w:val="baseline"/>
          <w:lang w:val="pt-PT"/>
        </w:rPr>
        <w:t xml:space="preserve">. </w:t>
      </w:r>
      <w:r>
        <w:rPr>
          <w:rFonts w:hint="default" w:ascii="Arial" w:hAnsi="Arial" w:cs="Arial"/>
          <w:sz w:val="22"/>
          <w:szCs w:val="22"/>
        </w:rPr>
        <w:br w:type="page"/>
      </w:r>
    </w:p>
    <w:p w14:paraId="289F3FC6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</w:p>
    <w:p w14:paraId="6E2B0AA9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  <w:lang w:val="pt-PT"/>
        </w:rPr>
        <w:t>Registos fotográficos</w:t>
      </w:r>
    </w:p>
    <w:p w14:paraId="2AC5E500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ENTRADA</w:t>
      </w:r>
    </w:p>
    <w:p w14:paraId="04EEEE25">
      <w:pPr>
        <w:pStyle w:val="1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drawing>
          <wp:inline distT="0" distB="0" distL="114300" distR="114300">
            <wp:extent cx="3802380" cy="6749415"/>
            <wp:effectExtent l="0" t="0" r="762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01731">
      <w:pPr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br w:type="page"/>
      </w:r>
    </w:p>
    <w:p w14:paraId="1D3D0FAC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</w:p>
    <w:p w14:paraId="5783F28B">
      <w:pPr>
        <w:spacing w:line="360" w:lineRule="auto"/>
        <w:jc w:val="both"/>
      </w:pPr>
      <w:r>
        <w:rPr>
          <w:rFonts w:hint="default" w:ascii="Arial" w:hAnsi="Arial" w:cs="Arial"/>
          <w:b/>
          <w:sz w:val="22"/>
          <w:szCs w:val="22"/>
        </w:rPr>
        <w:t>PRATO PRINCIPAL</w:t>
      </w:r>
    </w:p>
    <w:p w14:paraId="608FC2F4">
      <w:pPr>
        <w:spacing w:line="360" w:lineRule="auto"/>
        <w:jc w:val="both"/>
      </w:pPr>
    </w:p>
    <w:p w14:paraId="2BFB8D91">
      <w:pPr>
        <w:spacing w:line="360" w:lineRule="auto"/>
        <w:jc w:val="both"/>
        <w:rPr>
          <w:rFonts w:hint="default"/>
        </w:rPr>
      </w:pPr>
      <w:r>
        <w:drawing>
          <wp:inline distT="0" distB="0" distL="114300" distR="114300">
            <wp:extent cx="5218430" cy="6545580"/>
            <wp:effectExtent l="0" t="0" r="889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457A">
      <w:pPr>
        <w:pStyle w:val="10"/>
        <w:spacing w:line="360" w:lineRule="auto"/>
        <w:jc w:val="both"/>
        <w:rPr>
          <w:rFonts w:hint="default" w:ascii="Arial" w:hAnsi="Arial" w:cs="Arial"/>
          <w:sz w:val="22"/>
          <w:szCs w:val="22"/>
        </w:rPr>
      </w:pPr>
    </w:p>
    <w:p w14:paraId="7AA42ECF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br w:type="page"/>
      </w:r>
    </w:p>
    <w:p w14:paraId="4CAD7E45">
      <w:pPr>
        <w:spacing w:line="360" w:lineRule="auto"/>
        <w:jc w:val="both"/>
        <w:rPr>
          <w:rFonts w:hint="default" w:ascii="Arial" w:hAnsi="Arial" w:cs="Arial"/>
          <w:b/>
          <w:sz w:val="22"/>
          <w:szCs w:val="22"/>
        </w:rPr>
      </w:pPr>
    </w:p>
    <w:p w14:paraId="390206E7">
      <w:pPr>
        <w:spacing w:line="360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SOBREMESA</w:t>
      </w:r>
    </w:p>
    <w:p w14:paraId="4468168B">
      <w:pPr>
        <w:spacing w:line="360" w:lineRule="auto"/>
        <w:jc w:val="both"/>
        <w:rPr>
          <w:rFonts w:hint="default" w:ascii="Arial" w:hAnsi="Arial" w:cs="Arial"/>
          <w:sz w:val="24"/>
          <w:szCs w:val="24"/>
        </w:rPr>
      </w:pPr>
      <w:r>
        <w:drawing>
          <wp:inline distT="0" distB="0" distL="114300" distR="114300">
            <wp:extent cx="5628005" cy="7400925"/>
            <wp:effectExtent l="0" t="0" r="10795" b="5715"/>
            <wp:docPr id="1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br w:type="page"/>
      </w:r>
    </w:p>
    <w:p w14:paraId="6B811564">
      <w:pPr>
        <w:keepNext/>
        <w:spacing w:after="0" w:line="360" w:lineRule="auto"/>
        <w:jc w:val="both"/>
        <w:rPr>
          <w:rFonts w:hint="default" w:ascii="Arial" w:hAnsi="Arial" w:cs="Arial"/>
        </w:rPr>
      </w:pPr>
    </w:p>
    <w:p w14:paraId="3DBCA472">
      <w:pPr>
        <w:spacing w:after="0" w:line="360" w:lineRule="auto"/>
        <w:jc w:val="both"/>
        <w:rPr>
          <w:rFonts w:hint="default" w:ascii="Arial" w:hAnsi="Arial" w:cs="Arial"/>
          <w:b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437515</wp:posOffset>
            </wp:positionV>
            <wp:extent cx="5394960" cy="7380605"/>
            <wp:effectExtent l="0" t="0" r="0" b="10795"/>
            <wp:wrapTight wrapText="bothSides">
              <wp:wrapPolygon>
                <wp:start x="0" y="0"/>
                <wp:lineTo x="0" y="21542"/>
                <wp:lineTo x="21539" y="21542"/>
                <wp:lineTo x="21539" y="0"/>
                <wp:lineTo x="0" y="0"/>
              </wp:wrapPolygon>
            </wp:wrapTight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b/>
          <w:sz w:val="28"/>
        </w:rPr>
        <w:t>Fichas Técni</w:t>
      </w:r>
      <w:bookmarkStart w:id="0" w:name="_MON_1769595820"/>
      <w:bookmarkEnd w:id="0"/>
      <w:r>
        <w:rPr>
          <w:rFonts w:hint="default" w:ascii="Arial" w:hAnsi="Arial" w:cs="Arial"/>
          <w:b/>
          <w:sz w:val="28"/>
          <w:lang w:val="pt-PT"/>
        </w:rPr>
        <w:t>cas</w:t>
      </w:r>
      <w:r>
        <w:rPr>
          <w:rFonts w:hint="default" w:ascii="Arial" w:hAnsi="Arial" w:cs="Arial"/>
          <w:b/>
        </w:rPr>
        <w:br w:type="textWrapping" w:clear="all"/>
      </w:r>
    </w:p>
    <w:p w14:paraId="08FD7911">
      <w:pPr>
        <w:spacing w:line="360" w:lineRule="auto"/>
        <w:jc w:val="both"/>
        <w:rPr>
          <w:rFonts w:hint="default" w:ascii="Arial" w:hAnsi="Arial" w:cs="Arial"/>
          <w:b/>
        </w:rPr>
      </w:pPr>
      <w:r>
        <w:rPr>
          <w:rFonts w:hint="default" w:ascii="Arial" w:hAnsi="Arial" w:cs="Arial"/>
          <w:b/>
        </w:rPr>
        <w:br w:type="page"/>
      </w:r>
    </w:p>
    <w:p w14:paraId="2BDE56C8">
      <w:pPr>
        <w:spacing w:line="360" w:lineRule="auto"/>
        <w:ind w:hanging="567"/>
        <w:jc w:val="both"/>
        <w:rPr>
          <w:rFonts w:hint="default" w:ascii="Arial" w:hAnsi="Arial" w:cs="Arial"/>
        </w:rPr>
      </w:pPr>
    </w:p>
    <w:p w14:paraId="3AA7B219">
      <w:pPr>
        <w:spacing w:line="360" w:lineRule="auto"/>
        <w:ind w:hanging="567"/>
        <w:jc w:val="both"/>
        <w:rPr>
          <w:rFonts w:hint="default" w:ascii="Arial" w:hAnsi="Arial" w:cs="Arial"/>
        </w:rPr>
      </w:pPr>
    </w:p>
    <w:p w14:paraId="21F9C433">
      <w:pPr>
        <w:spacing w:line="360" w:lineRule="auto"/>
        <w:ind w:hanging="567"/>
        <w:jc w:val="both"/>
      </w:pPr>
    </w:p>
    <w:p w14:paraId="7C4BE798">
      <w:pPr>
        <w:spacing w:line="360" w:lineRule="auto"/>
        <w:ind w:hanging="567"/>
        <w:jc w:val="both"/>
      </w:pPr>
      <w:r>
        <w:drawing>
          <wp:inline distT="0" distB="0" distL="114300" distR="114300">
            <wp:extent cx="5394960" cy="4376420"/>
            <wp:effectExtent l="0" t="0" r="0" b="12700"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3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3A539">
      <w:pPr>
        <w:spacing w:line="360" w:lineRule="auto"/>
        <w:ind w:hanging="567"/>
        <w:jc w:val="both"/>
      </w:pPr>
    </w:p>
    <w:p w14:paraId="125F656F">
      <w:pPr>
        <w:spacing w:line="360" w:lineRule="auto"/>
        <w:ind w:hanging="567"/>
        <w:jc w:val="both"/>
      </w:pPr>
    </w:p>
    <w:p w14:paraId="30E621C6">
      <w:pPr>
        <w:spacing w:line="360" w:lineRule="auto"/>
        <w:ind w:hanging="567"/>
        <w:jc w:val="both"/>
      </w:pPr>
    </w:p>
    <w:p w14:paraId="04EAA1BC">
      <w:pPr>
        <w:spacing w:line="360" w:lineRule="auto"/>
        <w:ind w:hanging="567"/>
        <w:jc w:val="both"/>
      </w:pPr>
    </w:p>
    <w:p w14:paraId="299A5A5F">
      <w:pPr>
        <w:spacing w:line="360" w:lineRule="auto"/>
        <w:ind w:hanging="567"/>
        <w:jc w:val="both"/>
      </w:pPr>
    </w:p>
    <w:p w14:paraId="257F5924">
      <w:pPr>
        <w:spacing w:line="360" w:lineRule="auto"/>
        <w:ind w:hanging="567"/>
        <w:jc w:val="both"/>
      </w:pPr>
    </w:p>
    <w:p w14:paraId="3BB66C2C">
      <w:pPr>
        <w:spacing w:line="360" w:lineRule="auto"/>
        <w:ind w:hanging="567"/>
        <w:jc w:val="both"/>
      </w:pPr>
    </w:p>
    <w:p w14:paraId="0C9041CF">
      <w:pPr>
        <w:spacing w:line="360" w:lineRule="auto"/>
        <w:jc w:val="both"/>
      </w:pPr>
    </w:p>
    <w:p w14:paraId="78339F08">
      <w:pPr>
        <w:spacing w:line="360" w:lineRule="auto"/>
        <w:jc w:val="both"/>
        <w:rPr>
          <w:rFonts w:hint="default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146050</wp:posOffset>
            </wp:positionV>
            <wp:extent cx="4983480" cy="8541385"/>
            <wp:effectExtent l="0" t="0" r="0" b="8255"/>
            <wp:wrapNone/>
            <wp:docPr id="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5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96951A">
      <w:pPr>
        <w:spacing w:line="360" w:lineRule="auto"/>
        <w:jc w:val="both"/>
        <w:rPr>
          <w:rFonts w:hint="default"/>
        </w:rPr>
      </w:pPr>
    </w:p>
    <w:p w14:paraId="4CCB65D9">
      <w:pPr>
        <w:spacing w:line="360" w:lineRule="auto"/>
        <w:jc w:val="both"/>
        <w:rPr>
          <w:rFonts w:hint="default"/>
        </w:rPr>
      </w:pPr>
    </w:p>
    <w:p w14:paraId="64B5CB9C">
      <w:pPr>
        <w:spacing w:line="360" w:lineRule="auto"/>
        <w:jc w:val="both"/>
        <w:rPr>
          <w:rFonts w:hint="default"/>
        </w:rPr>
      </w:pPr>
    </w:p>
    <w:p w14:paraId="00A489EE">
      <w:pPr>
        <w:spacing w:line="360" w:lineRule="auto"/>
        <w:jc w:val="both"/>
        <w:rPr>
          <w:rFonts w:hint="default"/>
        </w:rPr>
      </w:pPr>
    </w:p>
    <w:p w14:paraId="4C4BA3D8">
      <w:pPr>
        <w:spacing w:line="360" w:lineRule="auto"/>
        <w:jc w:val="both"/>
        <w:rPr>
          <w:rFonts w:hint="default"/>
        </w:rPr>
      </w:pPr>
    </w:p>
    <w:p w14:paraId="3D09AD37">
      <w:pPr>
        <w:spacing w:line="360" w:lineRule="auto"/>
        <w:jc w:val="both"/>
        <w:rPr>
          <w:rFonts w:hint="default"/>
        </w:rPr>
      </w:pPr>
    </w:p>
    <w:p w14:paraId="38D40268">
      <w:pPr>
        <w:spacing w:line="360" w:lineRule="auto"/>
        <w:jc w:val="both"/>
        <w:rPr>
          <w:rFonts w:hint="default"/>
        </w:rPr>
      </w:pPr>
    </w:p>
    <w:p w14:paraId="3C0EDF18">
      <w:pPr>
        <w:spacing w:line="360" w:lineRule="auto"/>
        <w:jc w:val="both"/>
        <w:rPr>
          <w:rFonts w:hint="default"/>
        </w:rPr>
      </w:pPr>
    </w:p>
    <w:p w14:paraId="1FD16344">
      <w:pPr>
        <w:spacing w:line="360" w:lineRule="auto"/>
        <w:jc w:val="both"/>
        <w:rPr>
          <w:rFonts w:hint="default"/>
        </w:rPr>
      </w:pPr>
    </w:p>
    <w:p w14:paraId="41700574">
      <w:pPr>
        <w:spacing w:line="360" w:lineRule="auto"/>
        <w:jc w:val="both"/>
        <w:rPr>
          <w:rFonts w:hint="default"/>
        </w:rPr>
      </w:pPr>
    </w:p>
    <w:p w14:paraId="24642FBA">
      <w:pPr>
        <w:spacing w:line="360" w:lineRule="auto"/>
        <w:jc w:val="both"/>
        <w:rPr>
          <w:rFonts w:hint="default"/>
        </w:rPr>
      </w:pPr>
    </w:p>
    <w:p w14:paraId="01FFC3B5">
      <w:pPr>
        <w:spacing w:line="360" w:lineRule="auto"/>
        <w:jc w:val="both"/>
        <w:rPr>
          <w:rFonts w:hint="default"/>
        </w:rPr>
      </w:pPr>
    </w:p>
    <w:p w14:paraId="1CE32EB9">
      <w:pPr>
        <w:spacing w:line="360" w:lineRule="auto"/>
        <w:jc w:val="both"/>
        <w:rPr>
          <w:rFonts w:hint="default"/>
        </w:rPr>
      </w:pPr>
    </w:p>
    <w:p w14:paraId="519569B0">
      <w:pPr>
        <w:spacing w:line="360" w:lineRule="auto"/>
        <w:jc w:val="both"/>
        <w:rPr>
          <w:rFonts w:hint="default"/>
        </w:rPr>
      </w:pPr>
    </w:p>
    <w:p w14:paraId="7071068E">
      <w:pPr>
        <w:spacing w:line="360" w:lineRule="auto"/>
        <w:jc w:val="both"/>
        <w:rPr>
          <w:rFonts w:hint="default"/>
        </w:rPr>
      </w:pPr>
    </w:p>
    <w:p w14:paraId="3113B4C8">
      <w:pPr>
        <w:spacing w:line="360" w:lineRule="auto"/>
        <w:jc w:val="both"/>
        <w:rPr>
          <w:rFonts w:hint="default"/>
        </w:rPr>
      </w:pPr>
    </w:p>
    <w:p w14:paraId="76C0CA3B">
      <w:pPr>
        <w:spacing w:line="360" w:lineRule="auto"/>
        <w:jc w:val="both"/>
        <w:rPr>
          <w:rFonts w:hint="default"/>
        </w:rPr>
      </w:pPr>
    </w:p>
    <w:p w14:paraId="6AC81EFD">
      <w:pPr>
        <w:spacing w:line="360" w:lineRule="auto"/>
        <w:jc w:val="both"/>
        <w:rPr>
          <w:rFonts w:hint="default"/>
        </w:rPr>
      </w:pPr>
    </w:p>
    <w:p w14:paraId="55246F31">
      <w:pPr>
        <w:spacing w:line="360" w:lineRule="auto"/>
        <w:jc w:val="both"/>
        <w:rPr>
          <w:rFonts w:hint="default"/>
        </w:rPr>
      </w:pPr>
    </w:p>
    <w:p w14:paraId="161FB3E8">
      <w:pPr>
        <w:spacing w:line="360" w:lineRule="auto"/>
        <w:jc w:val="both"/>
        <w:rPr>
          <w:rFonts w:hint="default"/>
        </w:rPr>
      </w:pPr>
    </w:p>
    <w:p w14:paraId="32D24409">
      <w:pPr>
        <w:spacing w:line="360" w:lineRule="auto"/>
        <w:jc w:val="both"/>
        <w:rPr>
          <w:rFonts w:hint="default"/>
        </w:rPr>
      </w:pPr>
    </w:p>
    <w:p w14:paraId="06135408">
      <w:pPr>
        <w:spacing w:line="360" w:lineRule="auto"/>
        <w:jc w:val="both"/>
        <w:rPr>
          <w:rFonts w:hint="default"/>
        </w:rPr>
      </w:pPr>
    </w:p>
    <w:p w14:paraId="7E8E72BB">
      <w:pPr>
        <w:spacing w:line="360" w:lineRule="auto"/>
        <w:jc w:val="both"/>
        <w:rPr>
          <w:rFonts w:hint="default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344805</wp:posOffset>
            </wp:positionV>
            <wp:extent cx="5394960" cy="5534025"/>
            <wp:effectExtent l="0" t="0" r="0" b="13335"/>
            <wp:wrapTight wrapText="bothSides">
              <wp:wrapPolygon>
                <wp:start x="0" y="0"/>
                <wp:lineTo x="0" y="21533"/>
                <wp:lineTo x="21539" y="21533"/>
                <wp:lineTo x="21539" y="0"/>
                <wp:lineTo x="0" y="0"/>
              </wp:wrapPolygon>
            </wp:wrapTight>
            <wp:docPr id="1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443DA0">
      <w:pPr>
        <w:spacing w:line="360" w:lineRule="auto"/>
        <w:jc w:val="both"/>
        <w:rPr>
          <w:rFonts w:hint="default"/>
        </w:rPr>
      </w:pPr>
    </w:p>
    <w:p w14:paraId="52F26561">
      <w:pPr>
        <w:spacing w:line="360" w:lineRule="auto"/>
        <w:jc w:val="both"/>
        <w:rPr>
          <w:rFonts w:hint="default"/>
        </w:rPr>
      </w:pPr>
    </w:p>
    <w:p w14:paraId="45836040">
      <w:pPr>
        <w:spacing w:line="360" w:lineRule="auto"/>
        <w:jc w:val="both"/>
        <w:rPr>
          <w:rFonts w:hint="default"/>
        </w:rPr>
      </w:pPr>
    </w:p>
    <w:p w14:paraId="7F2BAE4A">
      <w:pPr>
        <w:spacing w:line="360" w:lineRule="auto"/>
        <w:jc w:val="both"/>
        <w:rPr>
          <w:rFonts w:hint="default"/>
        </w:rPr>
      </w:pPr>
    </w:p>
    <w:p w14:paraId="00684335">
      <w:pPr>
        <w:spacing w:line="360" w:lineRule="auto"/>
        <w:jc w:val="both"/>
        <w:rPr>
          <w:rFonts w:hint="default"/>
        </w:rPr>
      </w:pPr>
    </w:p>
    <w:p w14:paraId="71298C10">
      <w:pPr>
        <w:spacing w:line="360" w:lineRule="auto"/>
        <w:jc w:val="both"/>
        <w:rPr>
          <w:rFonts w:hint="default"/>
        </w:rPr>
      </w:pPr>
    </w:p>
    <w:p w14:paraId="75CCA2A8">
      <w:pPr>
        <w:spacing w:line="360" w:lineRule="auto"/>
        <w:jc w:val="both"/>
        <w:rPr>
          <w:rFonts w:hint="default"/>
        </w:rPr>
      </w:pPr>
    </w:p>
    <w:p w14:paraId="52B1C6E1">
      <w:pPr>
        <w:spacing w:line="360" w:lineRule="auto"/>
        <w:jc w:val="both"/>
        <w:rPr>
          <w:rFonts w:hint="default"/>
        </w:rPr>
      </w:pPr>
    </w:p>
    <w:p w14:paraId="212B9D41">
      <w:pPr>
        <w:spacing w:line="360" w:lineRule="auto"/>
        <w:jc w:val="both"/>
      </w:pPr>
      <w:r>
        <w:drawing>
          <wp:inline distT="0" distB="0" distL="114300" distR="114300">
            <wp:extent cx="5375910" cy="8531860"/>
            <wp:effectExtent l="0" t="0" r="3810" b="2540"/>
            <wp:docPr id="2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5318">
      <w:pPr>
        <w:spacing w:line="360" w:lineRule="auto"/>
        <w:jc w:val="both"/>
      </w:pPr>
    </w:p>
    <w:p w14:paraId="40A683D9">
      <w:pPr>
        <w:spacing w:line="360" w:lineRule="auto"/>
        <w:jc w:val="both"/>
      </w:pPr>
      <w:r>
        <w:drawing>
          <wp:inline distT="0" distB="0" distL="114300" distR="114300">
            <wp:extent cx="5396865" cy="6520815"/>
            <wp:effectExtent l="0" t="0" r="13335" b="1905"/>
            <wp:docPr id="2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652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576D">
      <w:pPr>
        <w:spacing w:line="360" w:lineRule="auto"/>
        <w:jc w:val="both"/>
        <w:rPr>
          <w:rFonts w:hint="default"/>
        </w:rPr>
      </w:pPr>
      <w:bookmarkStart w:id="1" w:name="_GoBack"/>
      <w:bookmarkEnd w:id="1"/>
    </w:p>
    <w:p w14:paraId="6BA929DF">
      <w:pPr>
        <w:spacing w:line="360" w:lineRule="auto"/>
        <w:jc w:val="both"/>
        <w:rPr>
          <w:rFonts w:hint="default"/>
        </w:rPr>
      </w:pPr>
    </w:p>
    <w:sectPr>
      <w:headerReference r:id="rId5" w:type="default"/>
      <w:footerReference r:id="rId6" w:type="default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92A24">
    <w:pPr>
      <w:pStyle w:val="8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1634490</wp:posOffset>
          </wp:positionH>
          <wp:positionV relativeFrom="paragraph">
            <wp:posOffset>-22860</wp:posOffset>
          </wp:positionV>
          <wp:extent cx="2324100" cy="361950"/>
          <wp:effectExtent l="0" t="0" r="0" b="0"/>
          <wp:wrapTight wrapText="bothSides">
            <wp:wrapPolygon>
              <wp:start x="0" y="0"/>
              <wp:lineTo x="0" y="20321"/>
              <wp:lineTo x="21394" y="20321"/>
              <wp:lineTo x="21394" y="0"/>
              <wp:lineTo x="0" y="0"/>
            </wp:wrapPolygon>
          </wp:wrapTight>
          <wp:docPr id="269087064" name="Imagem 1" descr="Uma imagem com texto, captura de ecrã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087064" name="Imagem 1" descr="Uma imagem com texto, captura de ecrã, Tipo de letra, logó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310" cy="36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1DA25">
    <w:pPr>
      <w:pStyle w:val="9"/>
      <w:jc w:val="center"/>
      <w:rPr>
        <w:rFonts w:ascii="Arial" w:hAnsi="Arial" w:cs="Arial"/>
      </w:rPr>
    </w:pPr>
    <w:r>
      <w:pict>
        <v:shape id="_x0000_s1025" o:spid="_x0000_s1025" o:spt="75" type="#_x0000_t75" style="position:absolute;left:0pt;margin-left:-36.45pt;margin-top:-17.6pt;height:59.6pt;width:64.4pt;z-index:-251655168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</v:shape>
        <o:OLEObject Type="Embed" ProgID="CPaint4" ShapeID="_x0000_s1025" DrawAspect="Content" ObjectID="_1468075725" r:id="rId1">
          <o:LockedField>false</o:LockedField>
        </o:OLEObject>
      </w:pict>
    </w:r>
    <w:r>
      <w:rPr>
        <w:rFonts w:ascii="Arial" w:hAnsi="Arial" w:cs="Aria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4936490</wp:posOffset>
          </wp:positionH>
          <wp:positionV relativeFrom="paragraph">
            <wp:posOffset>-160655</wp:posOffset>
          </wp:positionV>
          <wp:extent cx="1014730" cy="422275"/>
          <wp:effectExtent l="19050" t="0" r="0" b="0"/>
          <wp:wrapNone/>
          <wp:docPr id="10" name="Imagem 6" descr="DSRL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6" descr="DSRLV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962" cy="422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mallCaps/>
        <w:szCs w:val="2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1630680</wp:posOffset>
          </wp:positionH>
          <wp:positionV relativeFrom="paragraph">
            <wp:posOffset>-182880</wp:posOffset>
          </wp:positionV>
          <wp:extent cx="2103755" cy="368935"/>
          <wp:effectExtent l="0" t="0" r="14605" b="12065"/>
          <wp:wrapNone/>
          <wp:docPr id="1394066031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066031" name="Gráfico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75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085CD2C">
    <w:pPr>
      <w:pStyle w:val="9"/>
      <w:jc w:val="center"/>
      <w:rPr>
        <w:rFonts w:ascii="Arial" w:hAnsi="Arial" w:cs="Arial"/>
      </w:rPr>
    </w:pPr>
  </w:p>
  <w:p w14:paraId="4A129A10">
    <w:pPr>
      <w:pStyle w:val="9"/>
      <w:jc w:val="center"/>
    </w:pPr>
    <w:r>
      <w:rPr>
        <w:rFonts w:ascii="Arial" w:hAnsi="Arial" w:cs="Arial"/>
      </w:rPr>
      <w:t>Escola Profissional de Desenvolvimento Rural de Abrantes (404329)</w:t>
    </w:r>
  </w:p>
  <w:p w14:paraId="46AD2537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DF7960"/>
    <w:multiLevelType w:val="singleLevel"/>
    <w:tmpl w:val="51DF7960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53"/>
    <w:rsid w:val="00154E8C"/>
    <w:rsid w:val="00172FBE"/>
    <w:rsid w:val="001A461C"/>
    <w:rsid w:val="00232F0C"/>
    <w:rsid w:val="002E4403"/>
    <w:rsid w:val="00357C19"/>
    <w:rsid w:val="003B4C53"/>
    <w:rsid w:val="00440396"/>
    <w:rsid w:val="004D3371"/>
    <w:rsid w:val="005356F8"/>
    <w:rsid w:val="005E09A2"/>
    <w:rsid w:val="006F61F2"/>
    <w:rsid w:val="007F13CC"/>
    <w:rsid w:val="00827011"/>
    <w:rsid w:val="008D2859"/>
    <w:rsid w:val="00993AF8"/>
    <w:rsid w:val="009F5F0E"/>
    <w:rsid w:val="00A375F0"/>
    <w:rsid w:val="00AB192F"/>
    <w:rsid w:val="00C2238A"/>
    <w:rsid w:val="00C25328"/>
    <w:rsid w:val="00C932B7"/>
    <w:rsid w:val="00CA4ADE"/>
    <w:rsid w:val="00CD0C0C"/>
    <w:rsid w:val="00D7616F"/>
    <w:rsid w:val="00E628FC"/>
    <w:rsid w:val="00F94905"/>
    <w:rsid w:val="30E400E7"/>
    <w:rsid w:val="3116352B"/>
    <w:rsid w:val="432D2AB1"/>
    <w:rsid w:val="4A2C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PT" w:eastAsia="pt-PT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22"/>
    <w:rPr>
      <w:b/>
      <w:bCs/>
    </w:rPr>
  </w:style>
  <w:style w:type="paragraph" w:styleId="7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footer"/>
    <w:basedOn w:val="1"/>
    <w:link w:val="12"/>
    <w:semiHidden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header"/>
    <w:basedOn w:val="1"/>
    <w:link w:val="1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Normal (Web)"/>
    <w:semiHidden/>
    <w:unhideWhenUsed/>
    <w:uiPriority w:val="99"/>
    <w:pPr>
      <w:spacing w:beforeAutospacing="1" w:after="0" w:afterAutospacing="1" w:line="240" w:lineRule="auto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1">
    <w:name w:val="Cabeçalho Caráter"/>
    <w:basedOn w:val="4"/>
    <w:link w:val="9"/>
    <w:uiPriority w:val="99"/>
  </w:style>
  <w:style w:type="character" w:customStyle="1" w:styleId="12">
    <w:name w:val="Rodapé Caráter"/>
    <w:basedOn w:val="4"/>
    <w:link w:val="8"/>
    <w:semiHidden/>
    <w:qFormat/>
    <w:uiPriority w:val="99"/>
  </w:style>
  <w:style w:type="character" w:customStyle="1" w:styleId="13">
    <w:name w:val="Texto de balão Caráter"/>
    <w:basedOn w:val="4"/>
    <w:link w:val="7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4.emf"/><Relationship Id="rId15" Type="http://schemas.openxmlformats.org/officeDocument/2006/relationships/image" Target="media/image13.emf"/><Relationship Id="rId14" Type="http://schemas.openxmlformats.org/officeDocument/2006/relationships/image" Target="media/image12.emf"/><Relationship Id="rId13" Type="http://schemas.openxmlformats.org/officeDocument/2006/relationships/image" Target="media/image11.emf"/><Relationship Id="rId12" Type="http://schemas.openxmlformats.org/officeDocument/2006/relationships/image" Target="media/image10.emf"/><Relationship Id="rId11" Type="http://schemas.openxmlformats.org/officeDocument/2006/relationships/image" Target="media/image9.emf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5" Type="http://schemas.openxmlformats.org/officeDocument/2006/relationships/image" Target="media/image4.svg"/><Relationship Id="rId4" Type="http://schemas.openxmlformats.org/officeDocument/2006/relationships/image" Target="media/image3.png"/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1EA8A-5CBA-4B9C-B7F3-B925EDAB7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1270</Words>
  <Characters>6858</Characters>
  <Lines>57</Lines>
  <Paragraphs>16</Paragraphs>
  <TotalTime>5</TotalTime>
  <ScaleCrop>false</ScaleCrop>
  <LinksUpToDate>false</LinksUpToDate>
  <CharactersWithSpaces>8112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2024-02-16T13:34:00Z</dcterms:created>
  <dc:creator>Franceliana Sousa</dc:creator>
  <cp:lastModifiedBy>Sandra Gouveia</cp:lastModifiedBy>
  <dcterms:modified xsi:type="dcterms:W3CDTF">2026-01-19T16:27:26Z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2070-12.2.0.23196</vt:lpwstr>
  </property>
  <property fmtid="{D5CDD505-2E9C-101B-9397-08002B2CF9AE}" pid="3" name="ICV">
    <vt:lpwstr>B294B105ADE34BA494A52B103EC14679_12</vt:lpwstr>
  </property>
</Properties>
</file>